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3C175">
      <w:pPr>
        <w:spacing w:line="600" w:lineRule="exact"/>
        <w:rPr>
          <w:rFonts w:hint="default" w:ascii="Times New Roman" w:hAnsi="Times New Roman" w:eastAsia="方正黑体简体" w:cs="Times New Roman"/>
          <w:color w:val="auto"/>
          <w:sz w:val="36"/>
          <w:szCs w:val="36"/>
        </w:rPr>
      </w:pPr>
      <w:r>
        <w:rPr>
          <w:rFonts w:hint="default" w:ascii="Times New Roman" w:hAnsi="Times New Roman" w:eastAsia="方正黑体简体" w:cs="Times New Roman"/>
          <w:color w:val="auto"/>
          <w:sz w:val="32"/>
          <w:szCs w:val="32"/>
        </w:rPr>
        <w:t>附件1</w:t>
      </w:r>
    </w:p>
    <w:p w14:paraId="3C388F1A">
      <w:pPr>
        <w:spacing w:line="600" w:lineRule="exact"/>
        <w:jc w:val="cente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202</w:t>
      </w:r>
      <w:r>
        <w:rPr>
          <w:rFonts w:hint="eastAsia" w:ascii="Times New Roman" w:hAnsi="Times New Roman" w:eastAsia="方正小标宋简体" w:cs="Times New Roman"/>
          <w:color w:val="auto"/>
          <w:sz w:val="40"/>
          <w:szCs w:val="40"/>
          <w:lang w:val="en-US" w:eastAsia="zh-CN"/>
        </w:rPr>
        <w:t>6</w:t>
      </w:r>
      <w:r>
        <w:rPr>
          <w:rFonts w:hint="default" w:ascii="Times New Roman" w:hAnsi="Times New Roman" w:eastAsia="方正小标宋简体" w:cs="Times New Roman"/>
          <w:color w:val="auto"/>
          <w:sz w:val="40"/>
          <w:szCs w:val="40"/>
        </w:rPr>
        <w:t>年湖南省</w:t>
      </w:r>
      <w:r>
        <w:rPr>
          <w:rFonts w:hint="default" w:ascii="Times New Roman" w:hAnsi="Times New Roman" w:eastAsia="方正小标宋简体" w:cs="Times New Roman"/>
          <w:color w:val="auto"/>
          <w:sz w:val="40"/>
          <w:szCs w:val="40"/>
          <w:lang w:eastAsia="zh-CN"/>
        </w:rPr>
        <w:t>先进制造业高地</w:t>
      </w:r>
      <w:r>
        <w:rPr>
          <w:rFonts w:hint="eastAsia" w:ascii="Times New Roman" w:hAnsi="Times New Roman" w:eastAsia="方正小标宋简体" w:cs="Times New Roman"/>
          <w:color w:val="auto"/>
          <w:sz w:val="40"/>
          <w:szCs w:val="40"/>
          <w:lang w:eastAsia="zh-CN"/>
        </w:rPr>
        <w:t>建设</w:t>
      </w:r>
      <w:r>
        <w:rPr>
          <w:rFonts w:hint="default" w:ascii="Times New Roman" w:hAnsi="Times New Roman" w:eastAsia="方正小标宋简体" w:cs="Times New Roman"/>
          <w:color w:val="auto"/>
          <w:spacing w:val="0"/>
          <w:sz w:val="40"/>
          <w:szCs w:val="40"/>
          <w:lang w:val="en-US" w:eastAsia="zh-CN"/>
        </w:rPr>
        <w:t>和中小企业发展专项资金</w:t>
      </w:r>
      <w:r>
        <w:rPr>
          <w:rFonts w:hint="default" w:ascii="Times New Roman" w:hAnsi="Times New Roman" w:eastAsia="方正小标宋简体" w:cs="Times New Roman"/>
          <w:color w:val="auto"/>
          <w:sz w:val="40"/>
          <w:szCs w:val="40"/>
        </w:rPr>
        <w:t>申报指南</w:t>
      </w:r>
    </w:p>
    <w:tbl>
      <w:tblPr>
        <w:tblStyle w:val="5"/>
        <w:tblW w:w="15677" w:type="dxa"/>
        <w:jc w:val="center"/>
        <w:tblLayout w:type="fixed"/>
        <w:tblCellMar>
          <w:top w:w="0" w:type="dxa"/>
          <w:left w:w="108" w:type="dxa"/>
          <w:bottom w:w="0" w:type="dxa"/>
          <w:right w:w="108" w:type="dxa"/>
        </w:tblCellMar>
      </w:tblPr>
      <w:tblGrid>
        <w:gridCol w:w="1215"/>
        <w:gridCol w:w="4836"/>
        <w:gridCol w:w="7052"/>
        <w:gridCol w:w="806"/>
        <w:gridCol w:w="1768"/>
      </w:tblGrid>
      <w:tr w14:paraId="6A0CE434">
        <w:tblPrEx>
          <w:tblCellMar>
            <w:top w:w="0" w:type="dxa"/>
            <w:left w:w="108" w:type="dxa"/>
            <w:bottom w:w="0" w:type="dxa"/>
            <w:right w:w="108" w:type="dxa"/>
          </w:tblCellMar>
        </w:tblPrEx>
        <w:trPr>
          <w:trHeight w:val="425" w:hRule="atLeast"/>
          <w:tblHeader/>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6CA552F4">
            <w:pPr>
              <w:keepNext w:val="0"/>
              <w:keepLines w:val="0"/>
              <w:pageBreakBefore w:val="0"/>
              <w:widowControl/>
              <w:kinsoku/>
              <w:wordWrap/>
              <w:overflowPunct/>
              <w:topLinePunct w:val="0"/>
              <w:autoSpaceDE/>
              <w:autoSpaceDN/>
              <w:bidi w:val="0"/>
              <w:adjustRightInd/>
              <w:spacing w:line="320" w:lineRule="exact"/>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支持事项</w:t>
            </w:r>
          </w:p>
        </w:tc>
        <w:tc>
          <w:tcPr>
            <w:tcW w:w="4836" w:type="dxa"/>
            <w:tcBorders>
              <w:top w:val="single" w:color="auto" w:sz="4" w:space="0"/>
              <w:left w:val="nil"/>
              <w:bottom w:val="single" w:color="auto" w:sz="4" w:space="0"/>
              <w:right w:val="single" w:color="auto" w:sz="4" w:space="0"/>
            </w:tcBorders>
            <w:noWrap w:val="0"/>
            <w:vAlign w:val="center"/>
          </w:tcPr>
          <w:p w14:paraId="058EE6AA">
            <w:pPr>
              <w:keepNext w:val="0"/>
              <w:keepLines w:val="0"/>
              <w:pageBreakBefore w:val="0"/>
              <w:widowControl/>
              <w:kinsoku/>
              <w:wordWrap/>
              <w:overflowPunct/>
              <w:topLinePunct w:val="0"/>
              <w:autoSpaceDE/>
              <w:autoSpaceDN/>
              <w:bidi w:val="0"/>
              <w:adjustRightInd/>
              <w:spacing w:line="320" w:lineRule="exact"/>
              <w:jc w:val="center"/>
              <w:rPr>
                <w:rFonts w:hint="default" w:ascii="Times New Roman" w:hAnsi="Times New Roman" w:eastAsia="方正黑体简体" w:cs="Times New Roman"/>
                <w:color w:val="auto"/>
                <w:kern w:val="0"/>
                <w:sz w:val="24"/>
                <w:szCs w:val="24"/>
              </w:rPr>
            </w:pPr>
            <w:r>
              <w:rPr>
                <w:rFonts w:hint="default" w:ascii="Times New Roman" w:hAnsi="Times New Roman" w:eastAsia="方正黑体简体" w:cs="Times New Roman"/>
                <w:color w:val="auto"/>
                <w:kern w:val="0"/>
                <w:sz w:val="24"/>
                <w:szCs w:val="24"/>
              </w:rPr>
              <w:t>具体方向</w:t>
            </w:r>
          </w:p>
        </w:tc>
        <w:tc>
          <w:tcPr>
            <w:tcW w:w="7052" w:type="dxa"/>
            <w:tcBorders>
              <w:top w:val="single" w:color="auto" w:sz="4" w:space="0"/>
              <w:left w:val="nil"/>
              <w:bottom w:val="single" w:color="auto" w:sz="4" w:space="0"/>
              <w:right w:val="single" w:color="auto" w:sz="4" w:space="0"/>
            </w:tcBorders>
            <w:noWrap w:val="0"/>
            <w:vAlign w:val="center"/>
          </w:tcPr>
          <w:p w14:paraId="346F2429">
            <w:pPr>
              <w:keepNext w:val="0"/>
              <w:keepLines w:val="0"/>
              <w:pageBreakBefore w:val="0"/>
              <w:widowControl/>
              <w:kinsoku/>
              <w:wordWrap/>
              <w:overflowPunct/>
              <w:topLinePunct w:val="0"/>
              <w:autoSpaceDE/>
              <w:autoSpaceDN/>
              <w:bidi w:val="0"/>
              <w:adjustRightInd/>
              <w:spacing w:line="320" w:lineRule="exact"/>
              <w:jc w:val="center"/>
              <w:rPr>
                <w:rFonts w:hint="default" w:ascii="Times New Roman" w:hAnsi="Times New Roman" w:eastAsia="方正黑体简体" w:cs="Times New Roman"/>
                <w:color w:val="auto"/>
                <w:kern w:val="0"/>
                <w:sz w:val="24"/>
                <w:szCs w:val="24"/>
              </w:rPr>
            </w:pPr>
            <w:r>
              <w:rPr>
                <w:rFonts w:hint="default" w:ascii="Times New Roman" w:hAnsi="Times New Roman" w:eastAsia="方正黑体简体" w:cs="Times New Roman"/>
                <w:color w:val="auto"/>
                <w:kern w:val="0"/>
                <w:sz w:val="24"/>
                <w:szCs w:val="24"/>
              </w:rPr>
              <w:t>申报条件</w:t>
            </w:r>
          </w:p>
        </w:tc>
        <w:tc>
          <w:tcPr>
            <w:tcW w:w="806" w:type="dxa"/>
            <w:tcBorders>
              <w:top w:val="single" w:color="auto" w:sz="4" w:space="0"/>
              <w:left w:val="nil"/>
              <w:bottom w:val="single" w:color="auto" w:sz="4" w:space="0"/>
              <w:right w:val="single" w:color="auto" w:sz="4" w:space="0"/>
            </w:tcBorders>
            <w:noWrap w:val="0"/>
            <w:vAlign w:val="center"/>
          </w:tcPr>
          <w:p w14:paraId="4BAA49C6">
            <w:pPr>
              <w:keepNext w:val="0"/>
              <w:keepLines w:val="0"/>
              <w:pageBreakBefore w:val="0"/>
              <w:widowControl/>
              <w:kinsoku/>
              <w:wordWrap/>
              <w:overflowPunct/>
              <w:topLinePunct w:val="0"/>
              <w:autoSpaceDE/>
              <w:autoSpaceDN/>
              <w:bidi w:val="0"/>
              <w:adjustRightInd/>
              <w:spacing w:line="320" w:lineRule="exact"/>
              <w:jc w:val="center"/>
              <w:rPr>
                <w:rFonts w:hint="default" w:ascii="Times New Roman" w:hAnsi="Times New Roman" w:eastAsia="方正仿宋简体" w:cs="Times New Roman"/>
                <w:color w:val="auto"/>
                <w:kern w:val="0"/>
                <w:sz w:val="24"/>
                <w:szCs w:val="24"/>
              </w:rPr>
            </w:pPr>
            <w:r>
              <w:rPr>
                <w:rFonts w:hint="default" w:ascii="Times New Roman" w:hAnsi="Times New Roman" w:eastAsia="方正黑体简体" w:cs="Times New Roman"/>
                <w:color w:val="auto"/>
                <w:kern w:val="0"/>
                <w:sz w:val="24"/>
                <w:szCs w:val="24"/>
              </w:rPr>
              <w:t>支持方式</w:t>
            </w:r>
          </w:p>
        </w:tc>
        <w:tc>
          <w:tcPr>
            <w:tcW w:w="1768" w:type="dxa"/>
            <w:tcBorders>
              <w:top w:val="single" w:color="auto" w:sz="4" w:space="0"/>
              <w:left w:val="nil"/>
              <w:bottom w:val="single" w:color="auto" w:sz="4" w:space="0"/>
              <w:right w:val="single" w:color="auto" w:sz="4" w:space="0"/>
            </w:tcBorders>
            <w:noWrap w:val="0"/>
            <w:vAlign w:val="center"/>
          </w:tcPr>
          <w:p w14:paraId="6249E2B1">
            <w:pPr>
              <w:keepNext w:val="0"/>
              <w:keepLines w:val="0"/>
              <w:pageBreakBefore w:val="0"/>
              <w:widowControl/>
              <w:kinsoku/>
              <w:wordWrap/>
              <w:overflowPunct/>
              <w:topLinePunct w:val="0"/>
              <w:autoSpaceDE/>
              <w:autoSpaceDN/>
              <w:bidi w:val="0"/>
              <w:adjustRightInd/>
              <w:spacing w:line="320" w:lineRule="exact"/>
              <w:jc w:val="center"/>
              <w:rPr>
                <w:rFonts w:hint="default" w:ascii="Times New Roman" w:hAnsi="Times New Roman" w:eastAsia="方正黑体简体" w:cs="Times New Roman"/>
                <w:color w:val="auto"/>
                <w:kern w:val="0"/>
                <w:sz w:val="24"/>
                <w:szCs w:val="24"/>
              </w:rPr>
            </w:pPr>
            <w:r>
              <w:rPr>
                <w:rFonts w:hint="default" w:ascii="Times New Roman" w:hAnsi="Times New Roman" w:eastAsia="方正黑体简体" w:cs="Times New Roman"/>
                <w:color w:val="auto"/>
                <w:kern w:val="0"/>
                <w:sz w:val="24"/>
                <w:szCs w:val="24"/>
              </w:rPr>
              <w:t>联系人</w:t>
            </w:r>
          </w:p>
        </w:tc>
      </w:tr>
      <w:tr w14:paraId="339514B8">
        <w:tblPrEx>
          <w:tblCellMar>
            <w:top w:w="0" w:type="dxa"/>
            <w:left w:w="108" w:type="dxa"/>
            <w:bottom w:w="0" w:type="dxa"/>
            <w:right w:w="108" w:type="dxa"/>
          </w:tblCellMar>
        </w:tblPrEx>
        <w:trPr>
          <w:trHeight w:val="7202"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44AC82D0">
            <w:pPr>
              <w:keepNext w:val="0"/>
              <w:keepLines w:val="0"/>
              <w:pageBreakBefore w:val="0"/>
              <w:widowControl/>
              <w:numPr>
                <w:ilvl w:val="0"/>
                <w:numId w:val="0"/>
              </w:numPr>
              <w:kinsoku/>
              <w:wordWrap/>
              <w:overflowPunct/>
              <w:topLinePunct w:val="0"/>
              <w:autoSpaceDE/>
              <w:autoSpaceDN/>
              <w:bidi w:val="0"/>
              <w:adjustRightInd/>
              <w:spacing w:line="320" w:lineRule="exact"/>
              <w:jc w:val="left"/>
              <w:rPr>
                <w:rFonts w:hint="default" w:ascii="Times New Roman" w:hAnsi="Times New Roman" w:eastAsia="黑体" w:cs="Times New Roman"/>
                <w:color w:val="auto"/>
                <w:sz w:val="21"/>
                <w:szCs w:val="21"/>
              </w:rPr>
            </w:pPr>
            <w:r>
              <w:rPr>
                <w:rFonts w:hint="eastAsia" w:ascii="Times New Roman" w:hAnsi="Times New Roman" w:eastAsia="黑体" w:cs="Times New Roman"/>
                <w:color w:val="auto"/>
                <w:kern w:val="0"/>
                <w:sz w:val="24"/>
                <w:szCs w:val="24"/>
                <w:lang w:eastAsia="zh-CN"/>
              </w:rPr>
              <w:t>一、</w:t>
            </w:r>
            <w:r>
              <w:rPr>
                <w:rFonts w:hint="default" w:ascii="Times New Roman" w:hAnsi="Times New Roman" w:eastAsia="黑体" w:cs="Times New Roman"/>
                <w:color w:val="auto"/>
                <w:kern w:val="0"/>
                <w:sz w:val="24"/>
                <w:szCs w:val="24"/>
              </w:rPr>
              <w:t>重点产业项目</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0B85002">
            <w:pPr>
              <w:keepNext w:val="0"/>
              <w:keepLines w:val="0"/>
              <w:pageBreakBefore w:val="0"/>
              <w:kinsoku/>
              <w:wordWrap/>
              <w:overflowPunct/>
              <w:topLinePunct w:val="0"/>
              <w:autoSpaceDE/>
              <w:autoSpaceDN/>
              <w:bidi w:val="0"/>
              <w:adjustRightInd/>
              <w:spacing w:line="320" w:lineRule="exact"/>
              <w:ind w:firstLine="0" w:firstLineChars="0"/>
              <w:rPr>
                <w:rFonts w:hint="default" w:ascii="Times New Roman" w:hAnsi="Times New Roman" w:eastAsia="仿宋_GB2312" w:cs="Times New Roman"/>
                <w:color w:val="auto"/>
                <w:sz w:val="20"/>
                <w:szCs w:val="22"/>
                <w:lang w:val="en-US" w:eastAsia="zh-CN"/>
              </w:rPr>
            </w:pPr>
            <w:r>
              <w:rPr>
                <w:rFonts w:hint="default" w:ascii="Times New Roman" w:hAnsi="Times New Roman" w:eastAsia="仿宋_GB2312" w:cs="Times New Roman"/>
                <w:color w:val="auto"/>
                <w:sz w:val="24"/>
                <w:szCs w:val="24"/>
                <w:lang w:val="en-US" w:eastAsia="zh-CN"/>
              </w:rPr>
              <w:t>详见《2026年省先进制造业高地建设和中小企业发展专项重点产业项目申报指导目录》。本年度支持项目不超过400个。</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48F69F9B">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
              </w:rPr>
              <w:t>1</w:t>
            </w:r>
            <w:r>
              <w:rPr>
                <w:rFonts w:hint="default" w:ascii="Times New Roman" w:hAnsi="Times New Roman" w:eastAsia="仿宋_GB2312" w:cs="Times New Roman"/>
                <w:color w:val="auto"/>
                <w:sz w:val="24"/>
                <w:szCs w:val="24"/>
                <w:lang w:val="en-US" w:eastAsia="zh-CN"/>
              </w:rPr>
              <w:t>.申报项目应为在建项目，或者</w:t>
            </w:r>
            <w:r>
              <w:rPr>
                <w:rFonts w:hint="eastAsia" w:ascii="Times New Roman" w:hAnsi="Times New Roman" w:eastAsia="仿宋_GB2312" w:cs="Times New Roman"/>
                <w:color w:val="auto"/>
                <w:sz w:val="24"/>
                <w:szCs w:val="24"/>
                <w:lang w:val="en-US" w:eastAsia="zh-CN"/>
              </w:rPr>
              <w:t>2026年1月1日起</w:t>
            </w:r>
            <w:r>
              <w:rPr>
                <w:rFonts w:hint="default" w:ascii="Times New Roman" w:hAnsi="Times New Roman" w:eastAsia="仿宋_GB2312" w:cs="Times New Roman"/>
                <w:color w:val="auto"/>
                <w:sz w:val="24"/>
                <w:szCs w:val="24"/>
                <w:lang w:val="en-US" w:eastAsia="zh-CN"/>
              </w:rPr>
              <w:t>以后完工的项目。</w:t>
            </w:r>
          </w:p>
          <w:p w14:paraId="476010AF">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
              </w:rPr>
              <w:t>2</w:t>
            </w:r>
            <w:r>
              <w:rPr>
                <w:rFonts w:hint="default" w:ascii="Times New Roman" w:hAnsi="Times New Roman" w:eastAsia="仿宋_GB2312" w:cs="Times New Roman"/>
                <w:color w:val="auto"/>
                <w:sz w:val="24"/>
                <w:szCs w:val="24"/>
                <w:lang w:val="en-US" w:eastAsia="zh-CN"/>
              </w:rPr>
              <w:t>.项目实施条件完善。</w:t>
            </w:r>
          </w:p>
          <w:p w14:paraId="17829E87">
            <w:pPr>
              <w:widowControl w:val="0"/>
              <w:spacing w:line="300" w:lineRule="exac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①</w:t>
            </w:r>
            <w:r>
              <w:rPr>
                <w:rFonts w:hint="default" w:ascii="Times New Roman" w:hAnsi="Times New Roman" w:eastAsia="仿宋_GB2312" w:cs="Times New Roman"/>
                <w:b w:val="0"/>
                <w:i w:val="0"/>
                <w:caps w:val="0"/>
                <w:color w:val="auto"/>
                <w:spacing w:val="0"/>
                <w:sz w:val="24"/>
                <w:szCs w:val="24"/>
                <w:highlight w:val="none"/>
                <w:shd w:val="clear" w:color="auto" w:fill="auto"/>
              </w:rPr>
              <w:t>项目建设中，生产线建设应为主要组成部分（提供项目建设计划购买设备明细表）。</w:t>
            </w:r>
          </w:p>
          <w:p w14:paraId="40E16DDA">
            <w:pPr>
              <w:widowControl w:val="0"/>
              <w:spacing w:line="300" w:lineRule="exac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highlight w:val="none"/>
                <w:lang w:val="en-US" w:eastAsia="zh-CN"/>
              </w:rPr>
              <w:t>②</w:t>
            </w:r>
            <w:r>
              <w:rPr>
                <w:rFonts w:hint="default" w:ascii="Times New Roman" w:hAnsi="Times New Roman" w:eastAsia="仿宋_GB2312" w:cs="Times New Roman"/>
                <w:b w:val="0"/>
                <w:i w:val="0"/>
                <w:caps w:val="0"/>
                <w:color w:val="auto"/>
                <w:spacing w:val="0"/>
                <w:sz w:val="24"/>
                <w:szCs w:val="24"/>
                <w:highlight w:val="none"/>
                <w:shd w:val="clear" w:color="auto" w:fill="auto"/>
              </w:rPr>
              <w:t>项目建设进展良好，生产线实体建设形成相应实物工程量（提供新购买设备列表及相对应的发票、银行付款凭证和合同，购置设备付款时间不早于2024年1月1日）。</w:t>
            </w:r>
          </w:p>
          <w:p w14:paraId="397FCECF">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③申报单位财务状况良好，具备健全的财务管理制度，项目资金来源合法合规，自有资金、已到位的银行贷款、银行授信或融资承诺资金总和大于或等于项目总投资，资金筹措方案可行，无重大资金风险。其中，除银行发放的贷款外，项目实施主体须具备一定额度的自有资金，湘西州、张家界市、怀化市和乡村振兴重点帮扶县项目实施主体自有资金不低于500万元，其余地区不低于1000万元（以项目储备通知发出至本申报通知截止时间期间任意时间节点企业账户余额为准，需由银行出具佐证资料并加盖银行公章）。</w:t>
            </w:r>
          </w:p>
          <w:p w14:paraId="3D1472C3">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szCs w:val="24"/>
                <w:highlight w:val="none"/>
                <w:lang w:val="en-US" w:eastAsia="zh"/>
              </w:rPr>
              <w:t>3</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highlight w:val="none"/>
              </w:rPr>
              <w:t>项目聚焦</w:t>
            </w:r>
            <w:r>
              <w:rPr>
                <w:rFonts w:hint="default" w:ascii="Times New Roman" w:hAnsi="Times New Roman" w:eastAsia="仿宋_GB2312" w:cs="Times New Roman"/>
                <w:color w:val="auto"/>
                <w:sz w:val="24"/>
                <w:highlight w:val="none"/>
                <w:lang w:val="en-US" w:eastAsia="zh-CN"/>
              </w:rPr>
              <w:t>12条重点</w:t>
            </w:r>
            <w:r>
              <w:rPr>
                <w:rFonts w:hint="default" w:ascii="Times New Roman" w:hAnsi="Times New Roman" w:eastAsia="仿宋_GB2312" w:cs="Times New Roman"/>
                <w:color w:val="auto"/>
                <w:sz w:val="24"/>
                <w:highlight w:val="none"/>
              </w:rPr>
              <w:t>产业链补短板、强弱项、填空白，主攻关键核心技术国产化替代，拥有自主知识产权，依托发明专利、实用新型专利等自主科技成果作为支撑。 </w:t>
            </w:r>
          </w:p>
          <w:p w14:paraId="4A6E24F3">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highlight w:val="none"/>
                <w:lang w:val="en-US" w:eastAsia="zh"/>
              </w:rPr>
              <w:t>4.</w:t>
            </w:r>
            <w:r>
              <w:rPr>
                <w:rFonts w:hint="default" w:ascii="Times New Roman" w:hAnsi="Times New Roman" w:eastAsia="仿宋_GB2312" w:cs="Times New Roman"/>
                <w:color w:val="auto"/>
                <w:sz w:val="24"/>
                <w:szCs w:val="24"/>
                <w:lang w:val="en-US" w:eastAsia="zh-CN"/>
              </w:rPr>
              <w:t>项目申请报告中的《申报材料真实性承诺》《项目建设投资计划明细表》均需法定代表人签字或盖章，并加盖项目单位公章。由委托授权人签名的，应提供企业法定代表人出具的相关授权文书。</w:t>
            </w:r>
          </w:p>
          <w:p w14:paraId="0EB25C6F">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Times New Roman"/>
                <w:sz w:val="20"/>
                <w:szCs w:val="22"/>
                <w:lang w:val="en-US" w:eastAsia="zh-CN"/>
              </w:rPr>
            </w:pPr>
            <w:r>
              <w:rPr>
                <w:rFonts w:hint="default" w:ascii="Times New Roman" w:hAnsi="Times New Roman" w:eastAsia="仿宋_GB2312" w:cs="Times New Roman"/>
                <w:color w:val="auto"/>
                <w:sz w:val="24"/>
                <w:szCs w:val="24"/>
                <w:lang w:val="en-US" w:eastAsia="zh"/>
              </w:rPr>
              <w:t>5</w:t>
            </w:r>
            <w:r>
              <w:rPr>
                <w:rFonts w:hint="default" w:ascii="Times New Roman" w:hAnsi="Times New Roman" w:eastAsia="仿宋_GB2312" w:cs="Times New Roman"/>
                <w:color w:val="auto"/>
                <w:sz w:val="24"/>
                <w:szCs w:val="24"/>
                <w:lang w:val="en-US" w:eastAsia="zh-CN"/>
              </w:rPr>
              <w:t>.2026年省政府十大产业项目不受具体方向、申报条件的限制。</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550D179">
            <w:pPr>
              <w:keepNext w:val="0"/>
              <w:keepLines w:val="0"/>
              <w:pageBreakBefore w:val="0"/>
              <w:widowControl/>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无偿</w:t>
            </w:r>
          </w:p>
          <w:p w14:paraId="1878266B">
            <w:pPr>
              <w:keepNext w:val="0"/>
              <w:keepLines w:val="0"/>
              <w:pageBreakBefore w:val="0"/>
              <w:widowControl/>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补助</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5EADD651">
            <w:pPr>
              <w:keepNext w:val="0"/>
              <w:keepLines w:val="0"/>
              <w:pageBreakBefore w:val="0"/>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投资规划处</w:t>
            </w:r>
          </w:p>
          <w:p w14:paraId="098E32EB">
            <w:pPr>
              <w:keepNext w:val="0"/>
              <w:keepLines w:val="0"/>
              <w:pageBreakBefore w:val="0"/>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eastAsia="zh-CN"/>
              </w:rPr>
              <w:t>皮忱玄</w:t>
            </w:r>
            <w:r>
              <w:rPr>
                <w:rFonts w:hint="default" w:ascii="Times New Roman" w:hAnsi="Times New Roman" w:eastAsia="仿宋_GB2312" w:cs="Times New Roman"/>
                <w:color w:val="auto"/>
                <w:sz w:val="24"/>
                <w:szCs w:val="24"/>
              </w:rPr>
              <w:t>0731-88955</w:t>
            </w:r>
            <w:r>
              <w:rPr>
                <w:rFonts w:hint="default" w:ascii="Times New Roman" w:hAnsi="Times New Roman" w:eastAsia="仿宋_GB2312" w:cs="Times New Roman"/>
                <w:color w:val="auto"/>
                <w:sz w:val="24"/>
                <w:szCs w:val="24"/>
                <w:lang w:val="en-US" w:eastAsia="zh-CN"/>
              </w:rPr>
              <w:t>499</w:t>
            </w:r>
          </w:p>
        </w:tc>
      </w:tr>
      <w:tr w14:paraId="1DF29796">
        <w:tblPrEx>
          <w:tblCellMar>
            <w:top w:w="0" w:type="dxa"/>
            <w:left w:w="108" w:type="dxa"/>
            <w:bottom w:w="0" w:type="dxa"/>
            <w:right w:w="108" w:type="dxa"/>
          </w:tblCellMar>
        </w:tblPrEx>
        <w:trPr>
          <w:trHeight w:val="2451"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640ED00C">
            <w:pPr>
              <w:keepNext w:val="0"/>
              <w:keepLines w:val="0"/>
              <w:pageBreakBefore w:val="0"/>
              <w:widowControl/>
              <w:numPr>
                <w:ilvl w:val="0"/>
                <w:numId w:val="0"/>
              </w:numPr>
              <w:kinsoku/>
              <w:wordWrap/>
              <w:overflowPunct/>
              <w:topLinePunct w:val="0"/>
              <w:autoSpaceDE/>
              <w:autoSpaceDN/>
              <w:bidi w:val="0"/>
              <w:adjustRightInd/>
              <w:spacing w:line="320" w:lineRule="exact"/>
              <w:ind w:left="0" w:leftChars="0" w:firstLine="0" w:firstLineChars="0"/>
              <w:jc w:val="left"/>
              <w:rPr>
                <w:rFonts w:hint="eastAsia" w:ascii="Times New Roman" w:hAnsi="Times New Roman" w:eastAsia="黑体" w:cs="Times New Roman"/>
                <w:color w:val="auto"/>
                <w:sz w:val="24"/>
                <w:szCs w:val="24"/>
                <w:lang w:eastAsia="zh-CN"/>
              </w:rPr>
            </w:pPr>
            <w:r>
              <w:rPr>
                <w:rFonts w:hint="default" w:ascii="Times New Roman" w:hAnsi="Times New Roman" w:eastAsia="黑体" w:cs="Times New Roman"/>
                <w:color w:val="auto"/>
                <w:kern w:val="0"/>
                <w:sz w:val="24"/>
                <w:szCs w:val="24"/>
                <w:lang w:eastAsia="zh-CN"/>
              </w:rPr>
              <w:t>二、</w:t>
            </w:r>
            <w:r>
              <w:rPr>
                <w:rFonts w:hint="default" w:ascii="Times New Roman" w:hAnsi="Times New Roman" w:eastAsia="黑体" w:cs="Times New Roman"/>
                <w:color w:val="auto"/>
                <w:kern w:val="0"/>
                <w:sz w:val="24"/>
                <w:szCs w:val="24"/>
              </w:rPr>
              <w:t>中小企业创新发展项目</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725FCD8">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lang w:val="en-US" w:eastAsia="zh-CN"/>
              </w:rPr>
              <w:t>支持中小企业进行数字化、网络化、智能化建设，购置仪器设备，更新改造设施，引进技术及服务，增强研发创新能力，改进产品质量，提高生产技术水平和生产效率，加快专精特新发展。</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44C1EDA6">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1.重点支持省级专精特新中小企业。</w:t>
            </w:r>
          </w:p>
          <w:p w14:paraId="1D61FD9C">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lang w:val="en-US" w:eastAsia="zh-CN"/>
              </w:rPr>
              <w:t>2.项目主要建设内容在2025年期间实施，主要投入发生在2025年，经济社会生态效益良好。</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805DB13">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无偿</w:t>
            </w:r>
          </w:p>
          <w:p w14:paraId="4EC0DF07">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sz w:val="24"/>
                <w:szCs w:val="24"/>
                <w:lang w:val="en-US" w:eastAsia="zh-CN"/>
              </w:rPr>
              <w:t>补助</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62FFCED1">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中小发展处</w:t>
            </w:r>
          </w:p>
          <w:p w14:paraId="5D445FBF">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李季</w:t>
            </w:r>
          </w:p>
          <w:p w14:paraId="4CA67844">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lang w:val="en-US" w:eastAsia="zh-CN"/>
              </w:rPr>
              <w:t>0731-88955420</w:t>
            </w:r>
          </w:p>
        </w:tc>
      </w:tr>
      <w:tr w14:paraId="425669E5">
        <w:tblPrEx>
          <w:tblCellMar>
            <w:top w:w="0" w:type="dxa"/>
            <w:left w:w="108" w:type="dxa"/>
            <w:bottom w:w="0" w:type="dxa"/>
            <w:right w:w="108" w:type="dxa"/>
          </w:tblCellMar>
        </w:tblPrEx>
        <w:trPr>
          <w:trHeight w:val="2451"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2E825434">
            <w:pPr>
              <w:keepNext w:val="0"/>
              <w:keepLines w:val="0"/>
              <w:pageBreakBefore w:val="0"/>
              <w:widowControl/>
              <w:numPr>
                <w:ilvl w:val="0"/>
                <w:numId w:val="0"/>
              </w:numPr>
              <w:kinsoku/>
              <w:wordWrap/>
              <w:overflowPunct/>
              <w:topLinePunct w:val="0"/>
              <w:autoSpaceDE/>
              <w:autoSpaceDN/>
              <w:bidi w:val="0"/>
              <w:adjustRightInd/>
              <w:spacing w:line="320" w:lineRule="exact"/>
              <w:ind w:left="0" w:leftChars="0" w:firstLine="0" w:firstLineChars="0"/>
              <w:jc w:val="left"/>
              <w:rPr>
                <w:rFonts w:hint="eastAsia" w:ascii="Times New Roman" w:hAnsi="Times New Roman" w:eastAsia="黑体" w:cs="Times New Roman"/>
                <w:color w:val="auto"/>
                <w:sz w:val="24"/>
                <w:szCs w:val="24"/>
                <w:lang w:eastAsia="zh-CN"/>
              </w:rPr>
            </w:pPr>
            <w:r>
              <w:rPr>
                <w:rFonts w:hint="default" w:ascii="Times New Roman" w:hAnsi="Times New Roman" w:eastAsia="黑体" w:cs="Times New Roman"/>
                <w:color w:val="auto"/>
                <w:kern w:val="0"/>
                <w:sz w:val="24"/>
                <w:szCs w:val="24"/>
                <w:lang w:eastAsia="zh-CN"/>
              </w:rPr>
              <w:t>三、</w:t>
            </w:r>
            <w:r>
              <w:rPr>
                <w:rFonts w:hint="default" w:ascii="Times New Roman" w:hAnsi="Times New Roman" w:eastAsia="黑体" w:cs="Times New Roman"/>
                <w:color w:val="auto"/>
                <w:kern w:val="0"/>
                <w:sz w:val="24"/>
                <w:szCs w:val="24"/>
              </w:rPr>
              <w:t>服务业务补助项目</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09E6788B">
            <w:pPr>
              <w:keepNext w:val="0"/>
              <w:keepLines w:val="0"/>
              <w:pageBreakBefore w:val="0"/>
              <w:kinsoku/>
              <w:wordWrap/>
              <w:overflowPunct/>
              <w:topLinePunct w:val="0"/>
              <w:autoSpaceDE/>
              <w:autoSpaceDN/>
              <w:bidi w:val="0"/>
              <w:adjustRightInd/>
              <w:spacing w:line="320" w:lineRule="exact"/>
              <w:ind w:firstLine="0" w:firstLineChars="0"/>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val="en-US" w:eastAsia="zh-CN"/>
              </w:rPr>
              <w:t>正常运营的中小企业公共服务平台。</w:t>
            </w:r>
          </w:p>
          <w:p w14:paraId="54A852EF">
            <w:pPr>
              <w:keepNext w:val="0"/>
              <w:keepLines w:val="0"/>
              <w:pageBreakBefore w:val="0"/>
              <w:kinsoku/>
              <w:wordWrap/>
              <w:overflowPunct/>
              <w:topLinePunct w:val="0"/>
              <w:autoSpaceDE/>
              <w:autoSpaceDN/>
              <w:bidi w:val="0"/>
              <w:adjustRightInd/>
              <w:spacing w:line="320" w:lineRule="exact"/>
              <w:ind w:firstLine="0" w:firstLineChars="0"/>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lang w:val="en-US" w:eastAsia="zh-CN"/>
              </w:rPr>
              <w:t>有效期内的中小微企业核心服务机构。</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1B977803">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lang w:val="en-US" w:eastAsia="zh-CN"/>
              </w:rPr>
              <w:t>聚焦中小企业发展难题，提供公共性、公益性服务或低收费服务，包括开展“一起益企”中小企业服务、大学生创新创业服务、中小企业出海、“一月一链”中小企业融资促进等活动，推进中小企业商业价值信用贷款改革试点工作等，年服务企业数量不少于200家次，年开展线下专题服务活动10次以上，其中公益性服务活动不少于2次。</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107EA93">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无偿</w:t>
            </w:r>
          </w:p>
          <w:p w14:paraId="1F84773A">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sz w:val="24"/>
                <w:szCs w:val="24"/>
                <w:lang w:val="en-US" w:eastAsia="zh-CN"/>
              </w:rPr>
              <w:t>补助</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20422AFC">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中小企业服务指导处</w:t>
            </w:r>
          </w:p>
          <w:p w14:paraId="5F1F737C">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黄轶凡</w:t>
            </w:r>
          </w:p>
          <w:p w14:paraId="57609288">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lang w:val="en-US" w:eastAsia="zh-CN"/>
              </w:rPr>
              <w:t>0731-88955535</w:t>
            </w:r>
          </w:p>
        </w:tc>
      </w:tr>
      <w:tr w14:paraId="37D6451C">
        <w:tblPrEx>
          <w:tblCellMar>
            <w:top w:w="0" w:type="dxa"/>
            <w:left w:w="108" w:type="dxa"/>
            <w:bottom w:w="0" w:type="dxa"/>
            <w:right w:w="108" w:type="dxa"/>
          </w:tblCellMar>
        </w:tblPrEx>
        <w:trPr>
          <w:trHeight w:val="2451"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7ED4AD12">
            <w:pPr>
              <w:keepNext w:val="0"/>
              <w:keepLines w:val="0"/>
              <w:pageBreakBefore w:val="0"/>
              <w:widowControl/>
              <w:kinsoku/>
              <w:wordWrap/>
              <w:overflowPunct/>
              <w:topLinePunct w:val="0"/>
              <w:autoSpaceDE/>
              <w:autoSpaceDN/>
              <w:bidi w:val="0"/>
              <w:adjustRightInd/>
              <w:spacing w:line="320" w:lineRule="exact"/>
              <w:jc w:val="center"/>
              <w:rPr>
                <w:rFonts w:hint="eastAsia"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kern w:val="0"/>
                <w:sz w:val="24"/>
                <w:szCs w:val="24"/>
                <w:lang w:val="en-US" w:eastAsia="zh-CN"/>
              </w:rPr>
              <w:t>四、</w:t>
            </w:r>
            <w:r>
              <w:rPr>
                <w:rFonts w:hint="default" w:ascii="Times New Roman" w:hAnsi="Times New Roman" w:eastAsia="黑体" w:cs="Times New Roman"/>
                <w:color w:val="auto"/>
                <w:kern w:val="0"/>
                <w:sz w:val="24"/>
                <w:szCs w:val="24"/>
                <w:lang w:eastAsia="zh-CN"/>
              </w:rPr>
              <w:t>制造业中试平台</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232F0EC">
            <w:pPr>
              <w:keepNext w:val="0"/>
              <w:keepLines w:val="0"/>
              <w:pageBreakBefore w:val="0"/>
              <w:widowControl w:val="0"/>
              <w:kinsoku/>
              <w:wordWrap/>
              <w:overflowPunct/>
              <w:topLinePunct w:val="0"/>
              <w:autoSpaceDE/>
              <w:autoSpaceDN/>
              <w:bidi w:val="0"/>
              <w:adjustRightInd/>
              <w:spacing w:line="320" w:lineRule="exact"/>
              <w:jc w:val="lef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对依托省内高校及科研院所等建设的湖南省新材料中试平台，依据平台支撑全省产业创新的综合成效和贡献度，择优给予支持。</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70F44109">
            <w:pPr>
              <w:pStyle w:val="4"/>
              <w:widowControl/>
              <w:shd w:val="clear" w:color="auto" w:fill="FFFFFF"/>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1.平台依托省内高校及科研院所等建设。</w:t>
            </w:r>
          </w:p>
          <w:p w14:paraId="50D7FD58">
            <w:pPr>
              <w:pStyle w:val="4"/>
              <w:widowControl/>
              <w:shd w:val="clear" w:color="auto" w:fill="FFFFFF"/>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2.平台已被认定为湖南省新材料中试平台。</w:t>
            </w:r>
          </w:p>
          <w:p w14:paraId="14E29786">
            <w:pPr>
              <w:pStyle w:val="4"/>
              <w:widowControl/>
              <w:shd w:val="clear" w:color="auto" w:fill="FFFFFF"/>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b w:val="0"/>
                <w:i w:val="0"/>
                <w:caps w:val="0"/>
                <w:color w:val="000000"/>
                <w:spacing w:val="0"/>
                <w:sz w:val="24"/>
                <w:szCs w:val="24"/>
                <w:shd w:val="clear" w:color="auto" w:fill="FFFFFF"/>
              </w:rPr>
              <w:t>平台面向制造业企业开放，已经服务制造业企业数量不低于10家且取得一定服务成效（须提供服务合同、服务收入发票等凭证，服务合同和收入在2024年1月1日以后）</w:t>
            </w:r>
            <w:r>
              <w:rPr>
                <w:rFonts w:hint="default" w:ascii="Times New Roman" w:hAnsi="Times New Roman" w:eastAsia="仿宋_GB2312" w:cs="Times New Roman"/>
                <w:sz w:val="24"/>
                <w:szCs w:val="24"/>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A4A4A9F">
            <w:pPr>
              <w:keepNext w:val="0"/>
              <w:keepLines w:val="0"/>
              <w:pageBreakBefore w:val="0"/>
              <w:widowControl w:val="0"/>
              <w:kinsoku/>
              <w:wordWrap/>
              <w:overflowPunct/>
              <w:topLinePunct w:val="0"/>
              <w:autoSpaceDE/>
              <w:autoSpaceDN/>
              <w:bidi w:val="0"/>
              <w:adjustRightInd/>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奖励</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B9079A1">
            <w:pPr>
              <w:keepNext w:val="0"/>
              <w:keepLines w:val="0"/>
              <w:pageBreakBefore w:val="0"/>
              <w:widowControl w:val="0"/>
              <w:kinsoku/>
              <w:wordWrap/>
              <w:overflowPunct/>
              <w:topLinePunct w:val="0"/>
              <w:autoSpaceDE/>
              <w:autoSpaceDN/>
              <w:bidi w:val="0"/>
              <w:adjustRightInd/>
              <w:spacing w:line="320" w:lineRule="exact"/>
              <w:jc w:val="center"/>
              <w:rPr>
                <w:rFonts w:hint="default" w:ascii="Times New Roman" w:hAnsi="Times New Roman" w:eastAsia="仿宋_GB2312" w:cs="Times New Roman"/>
                <w:spacing w:val="-11"/>
                <w:sz w:val="24"/>
                <w:szCs w:val="24"/>
                <w:lang w:eastAsia="zh-CN"/>
              </w:rPr>
            </w:pPr>
            <w:r>
              <w:rPr>
                <w:rFonts w:hint="default" w:ascii="Times New Roman" w:hAnsi="Times New Roman" w:eastAsia="仿宋_GB2312" w:cs="Times New Roman"/>
                <w:spacing w:val="-11"/>
                <w:sz w:val="24"/>
                <w:szCs w:val="24"/>
                <w:lang w:eastAsia="zh-CN"/>
              </w:rPr>
              <w:t>冶金建材工业处</w:t>
            </w:r>
          </w:p>
          <w:p w14:paraId="7B7A93DF">
            <w:pPr>
              <w:keepNext w:val="0"/>
              <w:keepLines w:val="0"/>
              <w:pageBreakBefore w:val="0"/>
              <w:widowControl w:val="0"/>
              <w:kinsoku/>
              <w:wordWrap/>
              <w:overflowPunct/>
              <w:topLinePunct w:val="0"/>
              <w:autoSpaceDE/>
              <w:autoSpaceDN/>
              <w:bidi w:val="0"/>
              <w:adjustRightInd/>
              <w:spacing w:line="32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王梦兰</w:t>
            </w:r>
          </w:p>
          <w:p w14:paraId="678C6D8B">
            <w:pPr>
              <w:keepNext w:val="0"/>
              <w:keepLines w:val="0"/>
              <w:pageBreakBefore w:val="0"/>
              <w:widowControl w:val="0"/>
              <w:kinsoku/>
              <w:wordWrap/>
              <w:overflowPunct/>
              <w:topLinePunct w:val="0"/>
              <w:autoSpaceDE/>
              <w:autoSpaceDN/>
              <w:bidi w:val="0"/>
              <w:adjustRightInd/>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0731-88955466</w:t>
            </w:r>
          </w:p>
        </w:tc>
      </w:tr>
      <w:tr w14:paraId="6814637C">
        <w:tblPrEx>
          <w:tblCellMar>
            <w:top w:w="0" w:type="dxa"/>
            <w:left w:w="108" w:type="dxa"/>
            <w:bottom w:w="0" w:type="dxa"/>
            <w:right w:w="108" w:type="dxa"/>
          </w:tblCellMar>
        </w:tblPrEx>
        <w:trPr>
          <w:trHeight w:val="2700"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01C108E4">
            <w:pPr>
              <w:keepNext w:val="0"/>
              <w:keepLines w:val="0"/>
              <w:pageBreakBefore w:val="0"/>
              <w:widowControl/>
              <w:numPr>
                <w:ilvl w:val="0"/>
                <w:numId w:val="0"/>
              </w:numPr>
              <w:kinsoku/>
              <w:wordWrap/>
              <w:overflowPunct/>
              <w:topLinePunct w:val="0"/>
              <w:autoSpaceDE/>
              <w:autoSpaceDN/>
              <w:bidi w:val="0"/>
              <w:adjustRightInd/>
              <w:spacing w:line="320" w:lineRule="exact"/>
              <w:ind w:left="0" w:leftChars="0" w:firstLine="0" w:firstLineChars="0"/>
              <w:jc w:val="center"/>
              <w:rPr>
                <w:rFonts w:hint="eastAsia" w:ascii="Times New Roman" w:hAnsi="Times New Roman" w:eastAsia="黑体" w:cs="Times New Roman"/>
                <w:color w:val="auto"/>
                <w:sz w:val="24"/>
                <w:szCs w:val="24"/>
                <w:lang w:eastAsia="zh-CN"/>
              </w:rPr>
            </w:pPr>
            <w:r>
              <w:rPr>
                <w:rFonts w:hint="default" w:ascii="Times New Roman" w:hAnsi="Times New Roman" w:eastAsia="黑体" w:cs="Times New Roman"/>
                <w:color w:val="auto"/>
                <w:kern w:val="0"/>
                <w:sz w:val="24"/>
                <w:szCs w:val="24"/>
                <w:lang w:val="en-US" w:eastAsia="zh-CN"/>
              </w:rPr>
              <w:t>五、</w:t>
            </w:r>
            <w:r>
              <w:rPr>
                <w:rFonts w:hint="eastAsia" w:ascii="Times New Roman" w:hAnsi="Times New Roman" w:eastAsia="黑体" w:cs="Times New Roman"/>
                <w:color w:val="auto"/>
                <w:kern w:val="0"/>
                <w:sz w:val="24"/>
                <w:szCs w:val="24"/>
                <w:lang w:val="en-US" w:eastAsia="zh-CN"/>
              </w:rPr>
              <w:t>先进制造业工程师协同创新中心</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8FCE3F3">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lang w:val="en-US" w:eastAsia="zh-CN"/>
              </w:rPr>
              <w:t>支持在湖南省登记的公办高校、科研院所等主体，通过“1个特色产业集群+1个共性技术平台+1批共享工程师”的形式，积极构建“企业出题、政府助题、人才答题、车间验题、市场评价”的协同创新模式，破解中小企业引不进、留不住、养不起高水平工程师以及行业共性技术攻关难、推广更难等问题。</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265A9182">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1.具有固定的办公场所和稳定的经费保障，拥有专职运营团队并具备完善的运营管理体系，具备一定的工程技术人才培养能力。</w:t>
            </w:r>
          </w:p>
          <w:p w14:paraId="1CA2DBD5">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2.具有一定规模的高水平工程师队伍，建有以产业真实需求为导向、以解决复杂工程问题为核心的人才培养、使用和激励体系。</w:t>
            </w:r>
          </w:p>
          <w:p w14:paraId="278139E3">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3.具有一定的组织跨单位工程师开展联合攻关与服务的能力，能有效解决行业共性技术研发、推广应用、成果转化难题。</w:t>
            </w:r>
          </w:p>
          <w:p w14:paraId="53AC25AB">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lang w:val="en-US" w:eastAsia="zh-CN"/>
              </w:rPr>
              <w:t>4.具有一定的研究、开发、试验条件，拥有一定研发、中试或检验检测的仪器设备。</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DF8D63A">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sz w:val="24"/>
                <w:szCs w:val="24"/>
                <w:lang w:val="en-US" w:eastAsia="zh-CN"/>
              </w:rPr>
              <w:t>奖励</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DEEC44A">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人事教育处</w:t>
            </w:r>
          </w:p>
          <w:p w14:paraId="1D9CF28D">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王轩</w:t>
            </w:r>
          </w:p>
          <w:p w14:paraId="00961383">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lang w:val="en-US" w:eastAsia="zh-CN"/>
              </w:rPr>
              <w:t>0731-88955338</w:t>
            </w:r>
          </w:p>
        </w:tc>
      </w:tr>
      <w:tr w14:paraId="086CB74E">
        <w:tblPrEx>
          <w:tblCellMar>
            <w:top w:w="0" w:type="dxa"/>
            <w:left w:w="108" w:type="dxa"/>
            <w:bottom w:w="0" w:type="dxa"/>
            <w:right w:w="108" w:type="dxa"/>
          </w:tblCellMar>
        </w:tblPrEx>
        <w:trPr>
          <w:trHeight w:val="2938"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6F13DA4F">
            <w:pPr>
              <w:keepNext w:val="0"/>
              <w:keepLines w:val="0"/>
              <w:pageBreakBefore w:val="0"/>
              <w:widowControl/>
              <w:numPr>
                <w:ilvl w:val="0"/>
                <w:numId w:val="0"/>
              </w:numPr>
              <w:kinsoku/>
              <w:wordWrap/>
              <w:overflowPunct/>
              <w:topLinePunct w:val="0"/>
              <w:autoSpaceDE/>
              <w:autoSpaceDN/>
              <w:bidi w:val="0"/>
              <w:adjustRightInd/>
              <w:spacing w:line="320" w:lineRule="exact"/>
              <w:ind w:left="0" w:leftChars="0" w:firstLine="0" w:firstLineChars="0"/>
              <w:jc w:val="center"/>
              <w:rPr>
                <w:rFonts w:hint="eastAsia" w:ascii="Times New Roman" w:hAnsi="Times New Roman" w:eastAsia="黑体" w:cs="Times New Roman"/>
                <w:color w:val="auto"/>
                <w:sz w:val="24"/>
                <w:szCs w:val="24"/>
                <w:lang w:eastAsia="zh-CN"/>
              </w:rPr>
            </w:pPr>
            <w:r>
              <w:rPr>
                <w:rFonts w:hint="default" w:ascii="Times New Roman" w:hAnsi="Times New Roman" w:eastAsia="黑体" w:cs="Times New Roman"/>
                <w:color w:val="auto"/>
                <w:kern w:val="0"/>
                <w:sz w:val="24"/>
                <w:szCs w:val="24"/>
                <w:lang w:val="en-US" w:eastAsia="zh-CN"/>
              </w:rPr>
              <w:t>六、产教融合项目</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3A65FEA8">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lang w:val="en-US" w:eastAsia="zh-CN"/>
              </w:rPr>
              <w:t>支持公办高等学校、职业院校（含技工院校）精准对接湖南省重点产业领域发展需求，与先进制造业企业在人才培养、学科专业、教学课程、师资力量、实训基地、技术研发、就业创业等方面深度合作共建的产教融合项目。</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3051C406">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1.主校区或分校区建在湖南省内且正常办学两年以上，拥有一批紧贴湖南省重点产业链和区域支柱产业的骨干专业。</w:t>
            </w:r>
          </w:p>
          <w:p w14:paraId="5E82FCB4">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2.围绕地方主导产业、重点企业需求，及时调整优化学科专业设置和育人体系，培养输送产业急需紧缺的复合型技术技能人才。</w:t>
            </w:r>
          </w:p>
          <w:p w14:paraId="7F7E63A3">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3.通过校企合作共建共享等形式，构建协同创新的长效机制，有效促进创新成果与核心技术产业化。</w:t>
            </w:r>
          </w:p>
          <w:p w14:paraId="7B0156F4">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lang w:val="en-US" w:eastAsia="zh-CN"/>
              </w:rPr>
              <w:t>4.在推动当地重点产业链发展上取得一定成效。</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4526A4E">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sz w:val="24"/>
                <w:szCs w:val="24"/>
                <w:lang w:val="en-US" w:eastAsia="zh-CN"/>
              </w:rPr>
              <w:t>奖励</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701EC53F">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人事教育处</w:t>
            </w:r>
          </w:p>
          <w:p w14:paraId="367F5314">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王轩</w:t>
            </w:r>
          </w:p>
          <w:p w14:paraId="7F012E99">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lang w:val="en-US" w:eastAsia="zh-CN"/>
              </w:rPr>
              <w:t>0731-88955338</w:t>
            </w:r>
          </w:p>
        </w:tc>
      </w:tr>
      <w:tr w14:paraId="7455A761">
        <w:tblPrEx>
          <w:tblCellMar>
            <w:top w:w="0" w:type="dxa"/>
            <w:left w:w="108" w:type="dxa"/>
            <w:bottom w:w="0" w:type="dxa"/>
            <w:right w:w="108" w:type="dxa"/>
          </w:tblCellMar>
        </w:tblPrEx>
        <w:trPr>
          <w:trHeight w:val="2451"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073753C6">
            <w:pPr>
              <w:keepNext w:val="0"/>
              <w:keepLines w:val="0"/>
              <w:pageBreakBefore w:val="0"/>
              <w:widowControl/>
              <w:kinsoku/>
              <w:wordWrap/>
              <w:overflowPunct/>
              <w:topLinePunct w:val="0"/>
              <w:autoSpaceDE/>
              <w:autoSpaceDN/>
              <w:bidi w:val="0"/>
              <w:adjustRightInd/>
              <w:spacing w:line="320" w:lineRule="exact"/>
              <w:jc w:val="center"/>
              <w:rPr>
                <w:rFonts w:hint="eastAsia" w:ascii="Times New Roman" w:hAnsi="Times New Roman" w:eastAsia="黑体" w:cs="Times New Roman"/>
                <w:color w:val="auto"/>
                <w:kern w:val="0"/>
                <w:sz w:val="24"/>
                <w:szCs w:val="24"/>
                <w:lang w:val="en-US" w:eastAsia="zh-CN"/>
              </w:rPr>
            </w:pPr>
            <w:r>
              <w:rPr>
                <w:rFonts w:hint="eastAsia" w:ascii="Times New Roman" w:hAnsi="Times New Roman" w:eastAsia="黑体" w:cs="Times New Roman"/>
                <w:color w:val="auto"/>
                <w:kern w:val="0"/>
                <w:sz w:val="24"/>
                <w:szCs w:val="24"/>
                <w:lang w:val="en-US" w:eastAsia="zh-CN"/>
              </w:rPr>
              <w:t>七</w:t>
            </w:r>
            <w:r>
              <w:rPr>
                <w:rFonts w:hint="default" w:ascii="Times New Roman" w:hAnsi="Times New Roman" w:eastAsia="黑体" w:cs="Times New Roman"/>
                <w:color w:val="auto"/>
                <w:kern w:val="0"/>
                <w:sz w:val="24"/>
                <w:szCs w:val="24"/>
                <w:lang w:val="en-US" w:eastAsia="zh-CN"/>
              </w:rPr>
              <w:t>、创新药和创新医疗器械产业化落地奖励</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0EC20DFF">
            <w:pPr>
              <w:keepNext w:val="0"/>
              <w:keepLines w:val="0"/>
              <w:widowControl w:val="0"/>
              <w:suppressLineNumbers w:val="0"/>
              <w:spacing w:line="320" w:lineRule="exact"/>
              <w:jc w:val="left"/>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重点支持首次获得药品注册批件并实现产业化落地的创新药、获得生产批件并实现产业化落地的第三类创新医疗器械和第二类创新医疗器械。</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4CED8A2E">
            <w:pPr>
              <w:keepNext w:val="0"/>
              <w:keepLines w:val="0"/>
              <w:widowControl w:val="0"/>
              <w:suppressLineNumbers w:val="0"/>
              <w:spacing w:line="320" w:lineRule="exact"/>
              <w:jc w:val="left"/>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符合《湖南省人民政府办公厅关于促进生物医药产业创新发展的若干意见》（湘政办发〔2026〕15号）第（四）条规定的创新药、创新医疗器械。</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9640A3C">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奖励</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7254CEFF">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消费品工业处</w:t>
            </w:r>
          </w:p>
          <w:p w14:paraId="193C221A">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李怡琛</w:t>
            </w:r>
          </w:p>
          <w:p w14:paraId="3533F278">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0731-88955396</w:t>
            </w:r>
          </w:p>
        </w:tc>
      </w:tr>
      <w:tr w14:paraId="5E3038FA">
        <w:tblPrEx>
          <w:tblCellMar>
            <w:top w:w="0" w:type="dxa"/>
            <w:left w:w="108" w:type="dxa"/>
            <w:bottom w:w="0" w:type="dxa"/>
            <w:right w:w="108" w:type="dxa"/>
          </w:tblCellMar>
        </w:tblPrEx>
        <w:trPr>
          <w:trHeight w:val="680" w:hRule="atLeast"/>
          <w:jc w:val="center"/>
        </w:trPr>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1496BA4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color w:val="auto"/>
                <w:kern w:val="0"/>
                <w:sz w:val="24"/>
                <w:szCs w:val="24"/>
                <w:lang w:val="en-US" w:eastAsia="zh-CN"/>
              </w:rPr>
            </w:pPr>
            <w:r>
              <w:rPr>
                <w:rFonts w:hint="eastAsia" w:ascii="Times New Roman" w:hAnsi="Times New Roman" w:eastAsia="黑体" w:cs="Times New Roman"/>
                <w:color w:val="000000"/>
                <w:kern w:val="0"/>
                <w:sz w:val="24"/>
                <w:szCs w:val="24"/>
                <w:highlight w:val="none"/>
                <w:vertAlign w:val="baseline"/>
                <w:lang w:val="en-US" w:eastAsia="zh-CN"/>
              </w:rPr>
              <w:t>八、</w:t>
            </w:r>
            <w:r>
              <w:rPr>
                <w:rFonts w:hint="default" w:ascii="Times New Roman" w:hAnsi="Times New Roman" w:eastAsia="黑体" w:cs="Times New Roman"/>
                <w:color w:val="000000"/>
                <w:kern w:val="0"/>
                <w:sz w:val="24"/>
                <w:szCs w:val="24"/>
                <w:highlight w:val="none"/>
                <w:vertAlign w:val="baseline"/>
                <w:lang w:val="en-US" w:eastAsia="zh-CN"/>
              </w:rPr>
              <w:t>先进计算</w:t>
            </w:r>
            <w:r>
              <w:rPr>
                <w:rFonts w:hint="eastAsia" w:ascii="Times New Roman" w:hAnsi="Times New Roman" w:eastAsia="黑体" w:cs="Times New Roman"/>
                <w:color w:val="000000"/>
                <w:kern w:val="0"/>
                <w:sz w:val="24"/>
                <w:szCs w:val="24"/>
                <w:highlight w:val="none"/>
                <w:vertAlign w:val="baseline"/>
                <w:lang w:val="en-US" w:eastAsia="zh-CN"/>
              </w:rPr>
              <w:t>领域项目</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C7CE46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color w:val="000000"/>
                <w:sz w:val="24"/>
                <w:szCs w:val="24"/>
                <w:highlight w:val="none"/>
                <w:vertAlign w:val="baseline"/>
                <w:lang w:val="en-US" w:eastAsia="zh-CN"/>
              </w:rPr>
              <w:t>1.支持先进计算领域研发中心建设。</w:t>
            </w:r>
          </w:p>
        </w:tc>
        <w:tc>
          <w:tcPr>
            <w:tcW w:w="7052" w:type="dxa"/>
            <w:vMerge w:val="restart"/>
            <w:tcBorders>
              <w:top w:val="single" w:color="auto" w:sz="4" w:space="0"/>
              <w:left w:val="single" w:color="auto" w:sz="4" w:space="0"/>
              <w:bottom w:val="single" w:color="auto" w:sz="4" w:space="0"/>
              <w:right w:val="single" w:color="auto" w:sz="4" w:space="0"/>
            </w:tcBorders>
            <w:noWrap w:val="0"/>
            <w:vAlign w:val="center"/>
          </w:tcPr>
          <w:p w14:paraId="3497B57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符合</w:t>
            </w:r>
            <w:r>
              <w:rPr>
                <w:rFonts w:hint="default" w:ascii="Times New Roman" w:hAnsi="Times New Roman" w:eastAsia="仿宋_GB2312" w:cs="Times New Roman"/>
                <w:color w:val="000000"/>
                <w:sz w:val="24"/>
              </w:rPr>
              <w:t>《湖南省加快先进计算产业高质量发展的政策措施》</w:t>
            </w:r>
            <w:r>
              <w:rPr>
                <w:rFonts w:hint="default" w:ascii="Times New Roman" w:hAnsi="Times New Roman" w:eastAsia="仿宋_GB2312" w:cs="Times New Roman"/>
                <w:b w:val="0"/>
                <w:bCs w:val="0"/>
                <w:color w:val="000000"/>
                <w:kern w:val="2"/>
                <w:sz w:val="24"/>
                <w:szCs w:val="24"/>
                <w:lang w:val="en-US" w:eastAsia="zh-CN" w:bidi="ar-SA"/>
              </w:rPr>
              <w:t>（湘政办发〔2023〕56号）第（五）条规定的研发中心</w:t>
            </w:r>
            <w:r>
              <w:rPr>
                <w:rFonts w:hint="default" w:ascii="Times New Roman" w:hAnsi="Times New Roman" w:eastAsia="仿宋_GB2312" w:cs="Times New Roman"/>
                <w:color w:val="000000"/>
                <w:sz w:val="24"/>
                <w:szCs w:val="24"/>
                <w:highlight w:val="none"/>
                <w:vertAlign w:val="baseline"/>
                <w:lang w:val="en-US" w:eastAsia="zh-CN"/>
              </w:rPr>
              <w:t>，</w:t>
            </w:r>
            <w:r>
              <w:rPr>
                <w:rFonts w:hint="default" w:ascii="Times New Roman" w:hAnsi="Times New Roman" w:eastAsia="仿宋_GB2312" w:cs="Times New Roman"/>
                <w:b w:val="0"/>
                <w:bCs w:val="0"/>
                <w:color w:val="000000"/>
                <w:kern w:val="2"/>
                <w:sz w:val="24"/>
                <w:szCs w:val="24"/>
                <w:lang w:val="en-US" w:eastAsia="zh-CN" w:bidi="ar-SA"/>
              </w:rPr>
              <w:t>第（二）条规定的关键核心技术，第（七）条规定的应用示范标杆</w:t>
            </w:r>
            <w:r>
              <w:rPr>
                <w:rFonts w:hint="default" w:ascii="Times New Roman" w:hAnsi="Times New Roman" w:eastAsia="仿宋_GB2312" w:cs="Times New Roman"/>
                <w:color w:val="000000"/>
                <w:sz w:val="24"/>
                <w:szCs w:val="24"/>
                <w:highlight w:val="none"/>
                <w:vertAlign w:val="baseline"/>
                <w:lang w:val="en-US" w:eastAsia="zh-CN"/>
              </w:rPr>
              <w:t>，</w:t>
            </w:r>
            <w:r>
              <w:rPr>
                <w:rFonts w:hint="default" w:ascii="Times New Roman" w:hAnsi="Times New Roman" w:eastAsia="仿宋_GB2312" w:cs="Times New Roman"/>
                <w:b w:val="0"/>
                <w:bCs w:val="0"/>
                <w:color w:val="000000"/>
                <w:kern w:val="2"/>
                <w:sz w:val="24"/>
                <w:szCs w:val="24"/>
                <w:lang w:val="en-US" w:eastAsia="zh-CN" w:bidi="ar-SA"/>
              </w:rPr>
              <w:t>第（九）条规定的</w:t>
            </w:r>
            <w:r>
              <w:rPr>
                <w:rFonts w:hint="default" w:ascii="Times New Roman" w:hAnsi="Times New Roman" w:eastAsia="仿宋_GB2312" w:cs="Times New Roman"/>
                <w:color w:val="000000"/>
                <w:sz w:val="24"/>
                <w:szCs w:val="24"/>
                <w:highlight w:val="none"/>
                <w:vertAlign w:val="baseline"/>
                <w:lang w:val="en-US" w:eastAsia="zh-CN"/>
              </w:rPr>
              <w:t>人才实训基地。</w:t>
            </w:r>
          </w:p>
        </w:tc>
        <w:tc>
          <w:tcPr>
            <w:tcW w:w="806" w:type="dxa"/>
            <w:vMerge w:val="restart"/>
            <w:tcBorders>
              <w:top w:val="single" w:color="auto" w:sz="4" w:space="0"/>
              <w:left w:val="single" w:color="auto" w:sz="4" w:space="0"/>
              <w:bottom w:val="single" w:color="auto" w:sz="4" w:space="0"/>
              <w:right w:val="single" w:color="auto" w:sz="4" w:space="0"/>
            </w:tcBorders>
            <w:noWrap w:val="0"/>
            <w:vAlign w:val="center"/>
          </w:tcPr>
          <w:p w14:paraId="0FEE397D">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000000"/>
                <w:sz w:val="24"/>
                <w:szCs w:val="24"/>
                <w:lang w:val="en-US" w:eastAsia="zh-CN"/>
              </w:rPr>
              <w:t>奖励</w:t>
            </w:r>
          </w:p>
        </w:tc>
        <w:tc>
          <w:tcPr>
            <w:tcW w:w="1768" w:type="dxa"/>
            <w:vMerge w:val="restart"/>
            <w:tcBorders>
              <w:top w:val="single" w:color="auto" w:sz="4" w:space="0"/>
              <w:left w:val="single" w:color="auto" w:sz="4" w:space="0"/>
              <w:bottom w:val="single" w:color="auto" w:sz="4" w:space="0"/>
              <w:right w:val="single" w:color="auto" w:sz="4" w:space="0"/>
            </w:tcBorders>
            <w:noWrap w:val="0"/>
            <w:vAlign w:val="center"/>
          </w:tcPr>
          <w:p w14:paraId="74E7A73E">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电子信息处</w:t>
            </w:r>
          </w:p>
          <w:p w14:paraId="1CFCB328">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张宸</w:t>
            </w:r>
          </w:p>
          <w:p w14:paraId="3F9D3ACB">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000000"/>
                <w:sz w:val="24"/>
                <w:szCs w:val="24"/>
                <w:lang w:val="en-US" w:eastAsia="zh-CN"/>
              </w:rPr>
              <w:t>0731-88955373</w:t>
            </w:r>
          </w:p>
        </w:tc>
      </w:tr>
      <w:tr w14:paraId="58FB1427">
        <w:tblPrEx>
          <w:tblCellMar>
            <w:top w:w="0" w:type="dxa"/>
            <w:left w:w="108" w:type="dxa"/>
            <w:bottom w:w="0" w:type="dxa"/>
            <w:right w:w="108" w:type="dxa"/>
          </w:tblCellMar>
        </w:tblPrEx>
        <w:trPr>
          <w:trHeight w:val="68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34B7842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黑体" w:cs="Times New Roman"/>
                <w:color w:val="auto"/>
                <w:kern w:val="0"/>
                <w:sz w:val="24"/>
                <w:szCs w:val="24"/>
                <w:lang w:val="en-US" w:eastAsia="zh-CN"/>
              </w:rPr>
            </w:pPr>
          </w:p>
        </w:tc>
        <w:tc>
          <w:tcPr>
            <w:tcW w:w="4836" w:type="dxa"/>
            <w:tcBorders>
              <w:top w:val="single" w:color="auto" w:sz="4" w:space="0"/>
              <w:left w:val="single" w:color="auto" w:sz="4" w:space="0"/>
              <w:bottom w:val="single" w:color="auto" w:sz="4" w:space="0"/>
              <w:right w:val="single" w:color="auto" w:sz="4" w:space="0"/>
            </w:tcBorders>
            <w:noWrap w:val="0"/>
            <w:vAlign w:val="center"/>
          </w:tcPr>
          <w:p w14:paraId="484B6016">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color w:val="000000"/>
                <w:sz w:val="24"/>
                <w:szCs w:val="24"/>
                <w:highlight w:val="none"/>
                <w:vertAlign w:val="baseline"/>
                <w:lang w:val="en-US" w:eastAsia="zh-CN"/>
              </w:rPr>
              <w:t>2.支持先进计算领域突破关键核心技术。</w:t>
            </w:r>
          </w:p>
        </w:tc>
        <w:tc>
          <w:tcPr>
            <w:tcW w:w="7052" w:type="dxa"/>
            <w:vMerge w:val="continue"/>
            <w:tcBorders>
              <w:top w:val="single" w:color="auto" w:sz="4" w:space="0"/>
              <w:left w:val="single" w:color="auto" w:sz="4" w:space="0"/>
              <w:bottom w:val="single" w:color="auto" w:sz="4" w:space="0"/>
              <w:right w:val="single" w:color="auto" w:sz="4" w:space="0"/>
            </w:tcBorders>
            <w:noWrap w:val="0"/>
            <w:vAlign w:val="center"/>
          </w:tcPr>
          <w:p w14:paraId="5020254E">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 w:val="0"/>
                <w:bCs w:val="0"/>
                <w:kern w:val="2"/>
                <w:sz w:val="24"/>
                <w:szCs w:val="24"/>
                <w:lang w:val="en-US" w:eastAsia="zh-CN" w:bidi="ar-SA"/>
              </w:rPr>
            </w:pPr>
          </w:p>
        </w:tc>
        <w:tc>
          <w:tcPr>
            <w:tcW w:w="806" w:type="dxa"/>
            <w:vMerge w:val="continue"/>
            <w:tcBorders>
              <w:top w:val="single" w:color="auto" w:sz="4" w:space="0"/>
              <w:left w:val="single" w:color="auto" w:sz="4" w:space="0"/>
              <w:bottom w:val="single" w:color="auto" w:sz="4" w:space="0"/>
              <w:right w:val="single" w:color="auto" w:sz="4" w:space="0"/>
            </w:tcBorders>
            <w:noWrap w:val="0"/>
            <w:vAlign w:val="center"/>
          </w:tcPr>
          <w:p w14:paraId="5C35F8D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z w:val="24"/>
                <w:szCs w:val="24"/>
                <w:lang w:val="en-US" w:eastAsia="zh-CN"/>
              </w:rPr>
            </w:pPr>
          </w:p>
        </w:tc>
        <w:tc>
          <w:tcPr>
            <w:tcW w:w="1768" w:type="dxa"/>
            <w:vMerge w:val="continue"/>
            <w:tcBorders>
              <w:top w:val="single" w:color="auto" w:sz="4" w:space="0"/>
              <w:left w:val="single" w:color="auto" w:sz="4" w:space="0"/>
              <w:bottom w:val="single" w:color="auto" w:sz="4" w:space="0"/>
              <w:right w:val="single" w:color="auto" w:sz="4" w:space="0"/>
            </w:tcBorders>
            <w:noWrap w:val="0"/>
            <w:vAlign w:val="center"/>
          </w:tcPr>
          <w:p w14:paraId="34F4C8C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z w:val="24"/>
                <w:szCs w:val="24"/>
                <w:lang w:val="en-US" w:eastAsia="zh-CN"/>
              </w:rPr>
            </w:pPr>
          </w:p>
        </w:tc>
      </w:tr>
      <w:tr w14:paraId="678446C8">
        <w:tblPrEx>
          <w:tblCellMar>
            <w:top w:w="0" w:type="dxa"/>
            <w:left w:w="108" w:type="dxa"/>
            <w:bottom w:w="0" w:type="dxa"/>
            <w:right w:w="108" w:type="dxa"/>
          </w:tblCellMar>
        </w:tblPrEx>
        <w:trPr>
          <w:trHeight w:val="68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600EEEE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黑体" w:cs="Times New Roman"/>
                <w:color w:val="auto"/>
                <w:sz w:val="24"/>
                <w:szCs w:val="24"/>
              </w:rPr>
            </w:pP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0A1F59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000000"/>
                <w:sz w:val="24"/>
                <w:szCs w:val="24"/>
                <w:highlight w:val="none"/>
                <w:vertAlign w:val="baseline"/>
                <w:lang w:val="en-US" w:eastAsia="zh-CN"/>
              </w:rPr>
              <w:t>3.支持先进计算领域应用示范标杆。</w:t>
            </w:r>
          </w:p>
        </w:tc>
        <w:tc>
          <w:tcPr>
            <w:tcW w:w="7052" w:type="dxa"/>
            <w:vMerge w:val="continue"/>
            <w:tcBorders>
              <w:top w:val="single" w:color="auto" w:sz="4" w:space="0"/>
              <w:left w:val="single" w:color="auto" w:sz="4" w:space="0"/>
              <w:bottom w:val="single" w:color="auto" w:sz="4" w:space="0"/>
              <w:right w:val="single" w:color="auto" w:sz="4" w:space="0"/>
            </w:tcBorders>
            <w:noWrap w:val="0"/>
            <w:vAlign w:val="center"/>
          </w:tcPr>
          <w:p w14:paraId="21BAE15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rPr>
            </w:pPr>
          </w:p>
        </w:tc>
        <w:tc>
          <w:tcPr>
            <w:tcW w:w="806" w:type="dxa"/>
            <w:vMerge w:val="continue"/>
            <w:tcBorders>
              <w:top w:val="single" w:color="auto" w:sz="4" w:space="0"/>
              <w:left w:val="single" w:color="auto" w:sz="4" w:space="0"/>
              <w:bottom w:val="single" w:color="auto" w:sz="4" w:space="0"/>
              <w:right w:val="single" w:color="auto" w:sz="4" w:space="0"/>
            </w:tcBorders>
            <w:noWrap w:val="0"/>
            <w:vAlign w:val="center"/>
          </w:tcPr>
          <w:p w14:paraId="36F01605">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4"/>
                <w:szCs w:val="24"/>
                <w:lang w:eastAsia="zh-CN"/>
              </w:rPr>
            </w:pPr>
          </w:p>
        </w:tc>
        <w:tc>
          <w:tcPr>
            <w:tcW w:w="1768" w:type="dxa"/>
            <w:vMerge w:val="continue"/>
            <w:tcBorders>
              <w:top w:val="single" w:color="auto" w:sz="4" w:space="0"/>
              <w:left w:val="single" w:color="auto" w:sz="4" w:space="0"/>
              <w:bottom w:val="single" w:color="auto" w:sz="4" w:space="0"/>
              <w:right w:val="single" w:color="auto" w:sz="4" w:space="0"/>
            </w:tcBorders>
            <w:noWrap w:val="0"/>
            <w:vAlign w:val="center"/>
          </w:tcPr>
          <w:p w14:paraId="5BFFFC3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4"/>
                <w:szCs w:val="24"/>
                <w:lang w:val="en-US" w:eastAsia="zh-CN"/>
              </w:rPr>
            </w:pPr>
          </w:p>
        </w:tc>
      </w:tr>
      <w:tr w14:paraId="4187B6A2">
        <w:tblPrEx>
          <w:tblCellMar>
            <w:top w:w="0" w:type="dxa"/>
            <w:left w:w="108" w:type="dxa"/>
            <w:bottom w:w="0" w:type="dxa"/>
            <w:right w:w="108" w:type="dxa"/>
          </w:tblCellMar>
        </w:tblPrEx>
        <w:trPr>
          <w:trHeight w:val="68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79BC169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黑体" w:cs="Times New Roman"/>
                <w:color w:val="auto"/>
                <w:kern w:val="0"/>
                <w:sz w:val="24"/>
                <w:szCs w:val="24"/>
                <w:lang w:eastAsia="zh-CN"/>
              </w:rPr>
            </w:pPr>
          </w:p>
        </w:tc>
        <w:tc>
          <w:tcPr>
            <w:tcW w:w="4836" w:type="dxa"/>
            <w:tcBorders>
              <w:top w:val="single" w:color="auto" w:sz="4" w:space="0"/>
              <w:left w:val="single" w:color="auto" w:sz="4" w:space="0"/>
              <w:bottom w:val="single" w:color="auto" w:sz="4" w:space="0"/>
              <w:right w:val="single" w:color="auto" w:sz="4" w:space="0"/>
            </w:tcBorders>
            <w:noWrap w:val="0"/>
            <w:vAlign w:val="center"/>
          </w:tcPr>
          <w:p w14:paraId="4F0761C6">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000000"/>
                <w:sz w:val="24"/>
                <w:szCs w:val="24"/>
                <w:highlight w:val="none"/>
                <w:vertAlign w:val="baseline"/>
                <w:lang w:val="en-US" w:eastAsia="zh-CN"/>
              </w:rPr>
              <w:t>4.支持先进计算领域人才实训基地。</w:t>
            </w:r>
          </w:p>
        </w:tc>
        <w:tc>
          <w:tcPr>
            <w:tcW w:w="7052" w:type="dxa"/>
            <w:vMerge w:val="continue"/>
            <w:tcBorders>
              <w:top w:val="single" w:color="auto" w:sz="4" w:space="0"/>
              <w:left w:val="single" w:color="auto" w:sz="4" w:space="0"/>
              <w:bottom w:val="single" w:color="auto" w:sz="4" w:space="0"/>
              <w:right w:val="single" w:color="auto" w:sz="4" w:space="0"/>
            </w:tcBorders>
            <w:noWrap w:val="0"/>
            <w:vAlign w:val="center"/>
          </w:tcPr>
          <w:p w14:paraId="092E605A">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rPr>
            </w:pPr>
          </w:p>
        </w:tc>
        <w:tc>
          <w:tcPr>
            <w:tcW w:w="806" w:type="dxa"/>
            <w:vMerge w:val="continue"/>
            <w:tcBorders>
              <w:top w:val="single" w:color="auto" w:sz="4" w:space="0"/>
              <w:left w:val="single" w:color="auto" w:sz="4" w:space="0"/>
              <w:bottom w:val="single" w:color="auto" w:sz="4" w:space="0"/>
              <w:right w:val="single" w:color="auto" w:sz="4" w:space="0"/>
            </w:tcBorders>
            <w:noWrap w:val="0"/>
            <w:vAlign w:val="center"/>
          </w:tcPr>
          <w:p w14:paraId="4AAC438E">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4"/>
                <w:szCs w:val="24"/>
                <w:lang w:eastAsia="zh-CN"/>
              </w:rPr>
            </w:pPr>
          </w:p>
        </w:tc>
        <w:tc>
          <w:tcPr>
            <w:tcW w:w="1768" w:type="dxa"/>
            <w:vMerge w:val="continue"/>
            <w:tcBorders>
              <w:top w:val="single" w:color="auto" w:sz="4" w:space="0"/>
              <w:left w:val="single" w:color="auto" w:sz="4" w:space="0"/>
              <w:bottom w:val="single" w:color="auto" w:sz="4" w:space="0"/>
              <w:right w:val="single" w:color="auto" w:sz="4" w:space="0"/>
            </w:tcBorders>
            <w:noWrap w:val="0"/>
            <w:vAlign w:val="center"/>
          </w:tcPr>
          <w:p w14:paraId="3BAB90A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z w:val="24"/>
                <w:szCs w:val="24"/>
                <w:lang w:val="en-US" w:eastAsia="zh-CN"/>
              </w:rPr>
            </w:pPr>
          </w:p>
        </w:tc>
      </w:tr>
      <w:tr w14:paraId="42AEE703">
        <w:tblPrEx>
          <w:tblCellMar>
            <w:top w:w="0" w:type="dxa"/>
            <w:left w:w="108" w:type="dxa"/>
            <w:bottom w:w="0" w:type="dxa"/>
            <w:right w:w="108" w:type="dxa"/>
          </w:tblCellMar>
        </w:tblPrEx>
        <w:trPr>
          <w:trHeight w:val="680" w:hRule="atLeast"/>
          <w:jc w:val="center"/>
        </w:trPr>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29AAB0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color w:val="auto"/>
                <w:kern w:val="0"/>
                <w:sz w:val="24"/>
                <w:szCs w:val="24"/>
                <w:lang w:eastAsia="zh-CN"/>
              </w:rPr>
            </w:pPr>
            <w:r>
              <w:rPr>
                <w:rFonts w:hint="eastAsia" w:ascii="Times New Roman" w:hAnsi="Times New Roman" w:eastAsia="黑体" w:cs="Times New Roman"/>
                <w:color w:val="000000"/>
                <w:kern w:val="0"/>
                <w:sz w:val="24"/>
                <w:szCs w:val="24"/>
                <w:highlight w:val="none"/>
                <w:vertAlign w:val="baseline"/>
                <w:lang w:val="en-US" w:eastAsia="zh-CN"/>
              </w:rPr>
              <w:t>九、音视频领域项目</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E1A29C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000000"/>
                <w:sz w:val="24"/>
                <w:szCs w:val="24"/>
                <w:highlight w:val="none"/>
                <w:vertAlign w:val="baseline"/>
                <w:lang w:val="en-US" w:eastAsia="zh-CN"/>
              </w:rPr>
              <w:t>1.支持音视频领域研发中心建设。</w:t>
            </w:r>
          </w:p>
        </w:tc>
        <w:tc>
          <w:tcPr>
            <w:tcW w:w="7052" w:type="dxa"/>
            <w:vMerge w:val="restart"/>
            <w:tcBorders>
              <w:top w:val="single" w:color="auto" w:sz="4" w:space="0"/>
              <w:left w:val="single" w:color="auto" w:sz="4" w:space="0"/>
              <w:bottom w:val="single" w:color="auto" w:sz="4" w:space="0"/>
              <w:right w:val="single" w:color="auto" w:sz="4" w:space="0"/>
            </w:tcBorders>
            <w:noWrap w:val="0"/>
            <w:vAlign w:val="center"/>
          </w:tcPr>
          <w:p w14:paraId="3217E12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rPr>
            </w:pPr>
            <w:r>
              <w:rPr>
                <w:rFonts w:hint="default" w:ascii="Times New Roman" w:hAnsi="Times New Roman" w:eastAsia="仿宋_GB2312" w:cs="Times New Roman"/>
                <w:b w:val="0"/>
                <w:bCs w:val="0"/>
                <w:color w:val="000000"/>
                <w:kern w:val="2"/>
                <w:sz w:val="24"/>
                <w:szCs w:val="24"/>
                <w:lang w:val="en-US" w:eastAsia="zh-CN" w:bidi="ar-SA"/>
              </w:rPr>
              <w:t>符合</w:t>
            </w:r>
            <w:r>
              <w:rPr>
                <w:rFonts w:hint="default" w:ascii="Times New Roman" w:hAnsi="Times New Roman" w:eastAsia="仿宋_GB2312" w:cs="Times New Roman"/>
                <w:color w:val="000000"/>
                <w:sz w:val="24"/>
              </w:rPr>
              <w:t>《湖南省加快音视频产业高质量发展的政策措施》</w:t>
            </w:r>
            <w:r>
              <w:rPr>
                <w:rFonts w:hint="default" w:ascii="Times New Roman" w:hAnsi="Times New Roman" w:eastAsia="仿宋_GB2312" w:cs="Times New Roman"/>
                <w:b w:val="0"/>
                <w:bCs w:val="0"/>
                <w:color w:val="000000"/>
                <w:kern w:val="2"/>
                <w:sz w:val="24"/>
                <w:szCs w:val="24"/>
                <w:lang w:val="en-US" w:eastAsia="zh-CN" w:bidi="ar-SA"/>
              </w:rPr>
              <w:t>（湘政办发〔2023〕55号）第（四）条规定的研发中心</w:t>
            </w:r>
            <w:r>
              <w:rPr>
                <w:rFonts w:hint="default" w:ascii="Times New Roman" w:hAnsi="Times New Roman" w:eastAsia="仿宋_GB2312" w:cs="Times New Roman"/>
                <w:color w:val="000000"/>
                <w:sz w:val="24"/>
                <w:szCs w:val="24"/>
                <w:highlight w:val="none"/>
                <w:vertAlign w:val="baseline"/>
                <w:lang w:val="en-US" w:eastAsia="zh-CN"/>
              </w:rPr>
              <w:t>，</w:t>
            </w:r>
            <w:r>
              <w:rPr>
                <w:rFonts w:hint="default" w:ascii="Times New Roman" w:hAnsi="Times New Roman" w:eastAsia="仿宋_GB2312" w:cs="Times New Roman"/>
                <w:b w:val="0"/>
                <w:bCs w:val="0"/>
                <w:color w:val="000000"/>
                <w:kern w:val="2"/>
                <w:sz w:val="24"/>
                <w:szCs w:val="24"/>
                <w:lang w:val="en-US" w:eastAsia="zh-CN" w:bidi="ar-SA"/>
              </w:rPr>
              <w:t>第（六）条规定的应用示范标杆，第（七）条规定的</w:t>
            </w:r>
            <w:r>
              <w:rPr>
                <w:rFonts w:hint="default" w:ascii="Times New Roman" w:hAnsi="Times New Roman" w:eastAsia="仿宋_GB2312" w:cs="Times New Roman"/>
                <w:color w:val="000000"/>
                <w:sz w:val="24"/>
              </w:rPr>
              <w:t>开发者、创作者社区</w:t>
            </w:r>
            <w:r>
              <w:rPr>
                <w:rFonts w:hint="default" w:ascii="Times New Roman" w:hAnsi="Times New Roman" w:eastAsia="仿宋_GB2312" w:cs="Times New Roman"/>
                <w:color w:val="000000"/>
                <w:sz w:val="24"/>
                <w:lang w:val="en-US" w:eastAsia="zh-CN"/>
              </w:rPr>
              <w:t>运营建设主体</w:t>
            </w:r>
            <w:r>
              <w:rPr>
                <w:rFonts w:hint="default" w:ascii="Times New Roman" w:hAnsi="Times New Roman" w:eastAsia="仿宋_GB2312" w:cs="Times New Roman"/>
                <w:b w:val="0"/>
                <w:bCs w:val="0"/>
                <w:color w:val="000000"/>
                <w:kern w:val="2"/>
                <w:sz w:val="24"/>
                <w:szCs w:val="24"/>
                <w:lang w:val="en-US" w:eastAsia="zh-CN" w:bidi="ar-SA"/>
              </w:rPr>
              <w:t>，第（八）条规定的</w:t>
            </w:r>
            <w:r>
              <w:rPr>
                <w:rFonts w:hint="default" w:ascii="Times New Roman" w:hAnsi="Times New Roman" w:eastAsia="仿宋_GB2312" w:cs="Times New Roman"/>
                <w:color w:val="000000"/>
                <w:sz w:val="24"/>
                <w:szCs w:val="24"/>
                <w:highlight w:val="none"/>
                <w:vertAlign w:val="baseline"/>
                <w:lang w:val="en-US" w:eastAsia="zh-CN"/>
              </w:rPr>
              <w:t>人才实训基地。</w:t>
            </w:r>
          </w:p>
        </w:tc>
        <w:tc>
          <w:tcPr>
            <w:tcW w:w="806" w:type="dxa"/>
            <w:vMerge w:val="restart"/>
            <w:tcBorders>
              <w:top w:val="single" w:color="auto" w:sz="4" w:space="0"/>
              <w:left w:val="single" w:color="auto" w:sz="4" w:space="0"/>
              <w:bottom w:val="single" w:color="auto" w:sz="4" w:space="0"/>
              <w:right w:val="single" w:color="auto" w:sz="4" w:space="0"/>
            </w:tcBorders>
            <w:noWrap w:val="0"/>
            <w:vAlign w:val="center"/>
          </w:tcPr>
          <w:p w14:paraId="4F024535">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000000"/>
                <w:sz w:val="24"/>
                <w:szCs w:val="24"/>
                <w:lang w:val="en-US" w:eastAsia="zh-CN"/>
              </w:rPr>
              <w:t>奖励</w:t>
            </w:r>
          </w:p>
        </w:tc>
        <w:tc>
          <w:tcPr>
            <w:tcW w:w="1768" w:type="dxa"/>
            <w:vMerge w:val="restart"/>
            <w:tcBorders>
              <w:top w:val="single" w:color="auto" w:sz="4" w:space="0"/>
              <w:left w:val="single" w:color="auto" w:sz="4" w:space="0"/>
              <w:bottom w:val="single" w:color="auto" w:sz="4" w:space="0"/>
              <w:right w:val="single" w:color="auto" w:sz="4" w:space="0"/>
            </w:tcBorders>
            <w:noWrap w:val="0"/>
            <w:vAlign w:val="center"/>
          </w:tcPr>
          <w:p w14:paraId="6C981092">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电子信息处</w:t>
            </w:r>
          </w:p>
          <w:p w14:paraId="4CA662ED">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陈龙</w:t>
            </w:r>
          </w:p>
          <w:p w14:paraId="626586D2">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000000"/>
                <w:sz w:val="24"/>
                <w:szCs w:val="24"/>
                <w:lang w:val="en-US" w:eastAsia="zh-CN"/>
              </w:rPr>
              <w:t>0731-88955528</w:t>
            </w:r>
          </w:p>
        </w:tc>
      </w:tr>
      <w:tr w14:paraId="4F663139">
        <w:tblPrEx>
          <w:tblCellMar>
            <w:top w:w="0" w:type="dxa"/>
            <w:left w:w="108" w:type="dxa"/>
            <w:bottom w:w="0" w:type="dxa"/>
            <w:right w:w="108" w:type="dxa"/>
          </w:tblCellMar>
        </w:tblPrEx>
        <w:trPr>
          <w:trHeight w:val="68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1A945DC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黑体" w:cs="Times New Roman"/>
                <w:color w:val="auto"/>
                <w:kern w:val="0"/>
                <w:sz w:val="24"/>
                <w:szCs w:val="24"/>
                <w:lang w:eastAsia="zh-CN"/>
              </w:rPr>
            </w:pPr>
          </w:p>
        </w:tc>
        <w:tc>
          <w:tcPr>
            <w:tcW w:w="4836" w:type="dxa"/>
            <w:tcBorders>
              <w:top w:val="single" w:color="auto" w:sz="4" w:space="0"/>
              <w:left w:val="single" w:color="auto" w:sz="4" w:space="0"/>
              <w:bottom w:val="single" w:color="auto" w:sz="4" w:space="0"/>
              <w:right w:val="single" w:color="auto" w:sz="4" w:space="0"/>
            </w:tcBorders>
            <w:noWrap w:val="0"/>
            <w:vAlign w:val="center"/>
          </w:tcPr>
          <w:p w14:paraId="057FCC26">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000000"/>
                <w:sz w:val="24"/>
                <w:szCs w:val="24"/>
                <w:highlight w:val="none"/>
                <w:vertAlign w:val="baseline"/>
                <w:lang w:val="en-US" w:eastAsia="zh-CN"/>
              </w:rPr>
              <w:t>2.</w:t>
            </w:r>
            <w:r>
              <w:rPr>
                <w:rFonts w:hint="default" w:ascii="Times New Roman" w:hAnsi="Times New Roman" w:eastAsia="仿宋_GB2312" w:cs="Times New Roman"/>
                <w:color w:val="000000"/>
                <w:sz w:val="24"/>
                <w:szCs w:val="24"/>
                <w:highlight w:val="none"/>
                <w:lang w:val="en-US" w:eastAsia="zh-CN"/>
              </w:rPr>
              <w:t>支持音视频领域</w:t>
            </w:r>
            <w:r>
              <w:rPr>
                <w:rFonts w:hint="default" w:ascii="Times New Roman" w:hAnsi="Times New Roman" w:eastAsia="仿宋_GB2312" w:cs="Times New Roman"/>
                <w:color w:val="000000"/>
                <w:sz w:val="24"/>
                <w:szCs w:val="24"/>
                <w:highlight w:val="none"/>
                <w:vertAlign w:val="baseline"/>
                <w:lang w:val="en-US" w:eastAsia="zh-CN"/>
              </w:rPr>
              <w:t>应用示范标杆</w:t>
            </w:r>
            <w:r>
              <w:rPr>
                <w:rFonts w:hint="default" w:ascii="Times New Roman" w:hAnsi="Times New Roman" w:eastAsia="仿宋_GB2312" w:cs="Times New Roman"/>
                <w:color w:val="000000"/>
                <w:sz w:val="24"/>
                <w:szCs w:val="24"/>
                <w:highlight w:val="none"/>
                <w:lang w:val="en-US" w:eastAsia="zh-CN"/>
              </w:rPr>
              <w:t>。</w:t>
            </w:r>
          </w:p>
        </w:tc>
        <w:tc>
          <w:tcPr>
            <w:tcW w:w="7052" w:type="dxa"/>
            <w:vMerge w:val="continue"/>
            <w:tcBorders>
              <w:top w:val="single" w:color="auto" w:sz="4" w:space="0"/>
              <w:left w:val="single" w:color="auto" w:sz="4" w:space="0"/>
              <w:bottom w:val="single" w:color="auto" w:sz="4" w:space="0"/>
              <w:right w:val="single" w:color="auto" w:sz="4" w:space="0"/>
            </w:tcBorders>
            <w:noWrap w:val="0"/>
            <w:vAlign w:val="center"/>
          </w:tcPr>
          <w:p w14:paraId="1969750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rPr>
            </w:pPr>
          </w:p>
        </w:tc>
        <w:tc>
          <w:tcPr>
            <w:tcW w:w="806" w:type="dxa"/>
            <w:vMerge w:val="continue"/>
            <w:tcBorders>
              <w:top w:val="single" w:color="auto" w:sz="4" w:space="0"/>
              <w:left w:val="single" w:color="auto" w:sz="4" w:space="0"/>
              <w:bottom w:val="single" w:color="auto" w:sz="4" w:space="0"/>
              <w:right w:val="single" w:color="auto" w:sz="4" w:space="0"/>
            </w:tcBorders>
            <w:noWrap w:val="0"/>
            <w:vAlign w:val="center"/>
          </w:tcPr>
          <w:p w14:paraId="6301860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24"/>
                <w:szCs w:val="24"/>
                <w:lang w:eastAsia="zh-CN"/>
              </w:rPr>
            </w:pPr>
          </w:p>
        </w:tc>
        <w:tc>
          <w:tcPr>
            <w:tcW w:w="1768" w:type="dxa"/>
            <w:vMerge w:val="continue"/>
            <w:tcBorders>
              <w:top w:val="single" w:color="auto" w:sz="4" w:space="0"/>
              <w:left w:val="single" w:color="auto" w:sz="4" w:space="0"/>
              <w:bottom w:val="single" w:color="auto" w:sz="4" w:space="0"/>
              <w:right w:val="single" w:color="auto" w:sz="4" w:space="0"/>
            </w:tcBorders>
            <w:noWrap w:val="0"/>
            <w:vAlign w:val="center"/>
          </w:tcPr>
          <w:p w14:paraId="38CF25D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szCs w:val="24"/>
                <w:lang w:val="en-US" w:eastAsia="zh-CN"/>
              </w:rPr>
            </w:pPr>
          </w:p>
        </w:tc>
      </w:tr>
      <w:tr w14:paraId="1EB64FBB">
        <w:tblPrEx>
          <w:tblCellMar>
            <w:top w:w="0" w:type="dxa"/>
            <w:left w:w="108" w:type="dxa"/>
            <w:bottom w:w="0" w:type="dxa"/>
            <w:right w:w="108" w:type="dxa"/>
          </w:tblCellMar>
        </w:tblPrEx>
        <w:trPr>
          <w:trHeight w:val="68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4BEEAC7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黑体" w:cs="Times New Roman"/>
                <w:color w:val="auto"/>
                <w:kern w:val="0"/>
                <w:sz w:val="24"/>
                <w:szCs w:val="24"/>
                <w:lang w:eastAsia="zh-CN"/>
              </w:rPr>
            </w:pP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E10C92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000000"/>
                <w:sz w:val="24"/>
                <w:szCs w:val="24"/>
                <w:highlight w:val="none"/>
                <w:lang w:val="en-US" w:eastAsia="zh-CN"/>
              </w:rPr>
              <w:t>3.支持音视频领域开发者和创作者生态建设。</w:t>
            </w:r>
          </w:p>
        </w:tc>
        <w:tc>
          <w:tcPr>
            <w:tcW w:w="7052" w:type="dxa"/>
            <w:vMerge w:val="continue"/>
            <w:tcBorders>
              <w:top w:val="single" w:color="auto" w:sz="4" w:space="0"/>
              <w:left w:val="single" w:color="auto" w:sz="4" w:space="0"/>
              <w:bottom w:val="single" w:color="auto" w:sz="4" w:space="0"/>
              <w:right w:val="single" w:color="auto" w:sz="4" w:space="0"/>
            </w:tcBorders>
            <w:noWrap w:val="0"/>
            <w:vAlign w:val="center"/>
          </w:tcPr>
          <w:p w14:paraId="46731FC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rPr>
            </w:pPr>
          </w:p>
        </w:tc>
        <w:tc>
          <w:tcPr>
            <w:tcW w:w="806" w:type="dxa"/>
            <w:vMerge w:val="continue"/>
            <w:tcBorders>
              <w:top w:val="single" w:color="auto" w:sz="4" w:space="0"/>
              <w:left w:val="single" w:color="auto" w:sz="4" w:space="0"/>
              <w:bottom w:val="single" w:color="auto" w:sz="4" w:space="0"/>
              <w:right w:val="single" w:color="auto" w:sz="4" w:space="0"/>
            </w:tcBorders>
            <w:noWrap w:val="0"/>
            <w:vAlign w:val="center"/>
          </w:tcPr>
          <w:p w14:paraId="5F83587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24"/>
                <w:szCs w:val="24"/>
                <w:lang w:eastAsia="zh-CN"/>
              </w:rPr>
            </w:pPr>
          </w:p>
        </w:tc>
        <w:tc>
          <w:tcPr>
            <w:tcW w:w="1768" w:type="dxa"/>
            <w:vMerge w:val="continue"/>
            <w:tcBorders>
              <w:top w:val="single" w:color="auto" w:sz="4" w:space="0"/>
              <w:left w:val="single" w:color="auto" w:sz="4" w:space="0"/>
              <w:bottom w:val="single" w:color="auto" w:sz="4" w:space="0"/>
              <w:right w:val="single" w:color="auto" w:sz="4" w:space="0"/>
            </w:tcBorders>
            <w:noWrap w:val="0"/>
            <w:vAlign w:val="center"/>
          </w:tcPr>
          <w:p w14:paraId="6B2FB73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szCs w:val="24"/>
                <w:lang w:val="en-US" w:eastAsia="zh-CN"/>
              </w:rPr>
            </w:pPr>
          </w:p>
        </w:tc>
      </w:tr>
      <w:tr w14:paraId="31D61E66">
        <w:tblPrEx>
          <w:tblCellMar>
            <w:top w:w="0" w:type="dxa"/>
            <w:left w:w="108" w:type="dxa"/>
            <w:bottom w:w="0" w:type="dxa"/>
            <w:right w:w="108" w:type="dxa"/>
          </w:tblCellMar>
        </w:tblPrEx>
        <w:trPr>
          <w:trHeight w:val="68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377186D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黑体" w:cs="Times New Roman"/>
                <w:color w:val="auto"/>
                <w:kern w:val="0"/>
                <w:sz w:val="24"/>
                <w:szCs w:val="24"/>
                <w:lang w:eastAsia="zh-CN"/>
              </w:rPr>
            </w:pP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E9B673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000000"/>
                <w:sz w:val="24"/>
                <w:szCs w:val="24"/>
                <w:highlight w:val="none"/>
                <w:vertAlign w:val="baseline"/>
                <w:lang w:val="en-US" w:eastAsia="zh-CN"/>
              </w:rPr>
              <w:t>4.支持音视频领域人才实训基地。</w:t>
            </w:r>
          </w:p>
        </w:tc>
        <w:tc>
          <w:tcPr>
            <w:tcW w:w="7052" w:type="dxa"/>
            <w:vMerge w:val="continue"/>
            <w:tcBorders>
              <w:top w:val="single" w:color="auto" w:sz="4" w:space="0"/>
              <w:left w:val="single" w:color="auto" w:sz="4" w:space="0"/>
              <w:bottom w:val="single" w:color="auto" w:sz="4" w:space="0"/>
              <w:right w:val="single" w:color="auto" w:sz="4" w:space="0"/>
            </w:tcBorders>
            <w:noWrap w:val="0"/>
            <w:vAlign w:val="center"/>
          </w:tcPr>
          <w:p w14:paraId="09A60AC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rPr>
            </w:pPr>
          </w:p>
        </w:tc>
        <w:tc>
          <w:tcPr>
            <w:tcW w:w="806" w:type="dxa"/>
            <w:vMerge w:val="continue"/>
            <w:tcBorders>
              <w:top w:val="single" w:color="auto" w:sz="4" w:space="0"/>
              <w:left w:val="single" w:color="auto" w:sz="4" w:space="0"/>
              <w:bottom w:val="single" w:color="auto" w:sz="4" w:space="0"/>
              <w:right w:val="single" w:color="auto" w:sz="4" w:space="0"/>
            </w:tcBorders>
            <w:noWrap w:val="0"/>
            <w:vAlign w:val="center"/>
          </w:tcPr>
          <w:p w14:paraId="661E877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24"/>
                <w:szCs w:val="24"/>
                <w:lang w:eastAsia="zh-CN"/>
              </w:rPr>
            </w:pPr>
          </w:p>
        </w:tc>
        <w:tc>
          <w:tcPr>
            <w:tcW w:w="1768" w:type="dxa"/>
            <w:vMerge w:val="continue"/>
            <w:tcBorders>
              <w:top w:val="single" w:color="auto" w:sz="4" w:space="0"/>
              <w:left w:val="single" w:color="auto" w:sz="4" w:space="0"/>
              <w:bottom w:val="single" w:color="auto" w:sz="4" w:space="0"/>
              <w:right w:val="single" w:color="auto" w:sz="4" w:space="0"/>
            </w:tcBorders>
            <w:noWrap w:val="0"/>
            <w:vAlign w:val="center"/>
          </w:tcPr>
          <w:p w14:paraId="5207D35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szCs w:val="24"/>
                <w:lang w:val="en-US" w:eastAsia="zh-CN"/>
              </w:rPr>
            </w:pPr>
          </w:p>
        </w:tc>
      </w:tr>
      <w:tr w14:paraId="61F12D41">
        <w:tblPrEx>
          <w:tblCellMar>
            <w:top w:w="0" w:type="dxa"/>
            <w:left w:w="108" w:type="dxa"/>
            <w:bottom w:w="0" w:type="dxa"/>
            <w:right w:w="108" w:type="dxa"/>
          </w:tblCellMar>
        </w:tblPrEx>
        <w:trPr>
          <w:trHeight w:val="2451"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3B80B93B">
            <w:pPr>
              <w:keepNext w:val="0"/>
              <w:keepLines w:val="0"/>
              <w:pageBreakBefore w:val="0"/>
              <w:widowControl/>
              <w:numPr>
                <w:ilvl w:val="0"/>
                <w:numId w:val="0"/>
              </w:numPr>
              <w:kinsoku/>
              <w:wordWrap/>
              <w:overflowPunct/>
              <w:topLinePunct w:val="0"/>
              <w:autoSpaceDE/>
              <w:autoSpaceDN/>
              <w:bidi w:val="0"/>
              <w:adjustRightInd/>
              <w:spacing w:line="320" w:lineRule="exact"/>
              <w:ind w:left="0" w:leftChars="0" w:firstLine="0" w:firstLineChars="0"/>
              <w:jc w:val="center"/>
              <w:rPr>
                <w:rFonts w:hint="eastAsia" w:ascii="Times New Roman" w:hAnsi="Times New Roman" w:eastAsia="黑体" w:cs="Times New Roman"/>
                <w:color w:val="auto"/>
                <w:kern w:val="0"/>
                <w:sz w:val="24"/>
                <w:szCs w:val="24"/>
                <w:lang w:eastAsia="zh-CN"/>
              </w:rPr>
            </w:pPr>
            <w:r>
              <w:rPr>
                <w:rFonts w:hint="eastAsia" w:ascii="Times New Roman" w:hAnsi="Times New Roman" w:eastAsia="黑体" w:cs="Times New Roman"/>
                <w:color w:val="000000"/>
                <w:kern w:val="0"/>
                <w:sz w:val="24"/>
                <w:szCs w:val="24"/>
                <w:lang w:eastAsia="zh-CN"/>
              </w:rPr>
              <w:t>十</w:t>
            </w:r>
            <w:r>
              <w:rPr>
                <w:rFonts w:hint="default" w:ascii="Times New Roman" w:hAnsi="Times New Roman" w:eastAsia="黑体" w:cs="Times New Roman"/>
                <w:color w:val="000000"/>
                <w:kern w:val="0"/>
                <w:sz w:val="24"/>
                <w:szCs w:val="24"/>
                <w:lang w:eastAsia="zh-CN"/>
              </w:rPr>
              <w:t>、县域新型工业化试点</w:t>
            </w:r>
          </w:p>
        </w:tc>
        <w:tc>
          <w:tcPr>
            <w:tcW w:w="11888" w:type="dxa"/>
            <w:gridSpan w:val="2"/>
            <w:tcBorders>
              <w:top w:val="single" w:color="auto" w:sz="4" w:space="0"/>
              <w:left w:val="single" w:color="auto" w:sz="4" w:space="0"/>
              <w:bottom w:val="single" w:color="auto" w:sz="4" w:space="0"/>
              <w:right w:val="single" w:color="auto" w:sz="4" w:space="0"/>
            </w:tcBorders>
            <w:noWrap w:val="0"/>
            <w:vAlign w:val="center"/>
          </w:tcPr>
          <w:p w14:paraId="01557970">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000000"/>
                <w:sz w:val="24"/>
                <w:szCs w:val="24"/>
                <w:lang w:val="en-US" w:eastAsia="zh-CN"/>
              </w:rPr>
              <w:t>具体申报条件及要求另行通知。</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756BEBFC">
            <w:pPr>
              <w:keepNext w:val="0"/>
              <w:keepLines w:val="0"/>
              <w:pageBreakBefore w:val="0"/>
              <w:widowControl/>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000000"/>
                <w:sz w:val="24"/>
                <w:szCs w:val="24"/>
                <w:lang w:eastAsia="zh-CN"/>
              </w:rPr>
              <w:t>奖励</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627E9137">
            <w:pPr>
              <w:keepNext w:val="0"/>
              <w:keepLines w:val="0"/>
              <w:pageBreakBefore w:val="0"/>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投资规划处</w:t>
            </w:r>
          </w:p>
          <w:p w14:paraId="4E849CE7">
            <w:pPr>
              <w:keepNext w:val="0"/>
              <w:keepLines w:val="0"/>
              <w:pageBreakBefore w:val="0"/>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highlight w:val="none"/>
                <w:lang w:eastAsia="zh-CN"/>
              </w:rPr>
              <w:t>彭鼎</w:t>
            </w:r>
            <w:r>
              <w:rPr>
                <w:rFonts w:hint="default" w:ascii="Times New Roman" w:hAnsi="Times New Roman" w:eastAsia="仿宋_GB2312" w:cs="Times New Roman"/>
                <w:color w:val="000000"/>
                <w:sz w:val="24"/>
                <w:szCs w:val="24"/>
              </w:rPr>
              <w:t>0731-88955</w:t>
            </w:r>
            <w:r>
              <w:rPr>
                <w:rFonts w:hint="default" w:ascii="Times New Roman" w:hAnsi="Times New Roman" w:eastAsia="仿宋_GB2312" w:cs="Times New Roman"/>
                <w:color w:val="000000"/>
                <w:sz w:val="24"/>
                <w:szCs w:val="24"/>
                <w:lang w:val="en-US" w:eastAsia="zh-CN"/>
              </w:rPr>
              <w:t>499</w:t>
            </w:r>
          </w:p>
          <w:p w14:paraId="457F6A33">
            <w:pPr>
              <w:keepNext w:val="0"/>
              <w:keepLines w:val="0"/>
              <w:pageBreakBefore w:val="0"/>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中小企业发展促进处</w:t>
            </w:r>
          </w:p>
          <w:p w14:paraId="25DFB9C3">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李季</w:t>
            </w:r>
          </w:p>
          <w:p w14:paraId="7B2A4872">
            <w:pPr>
              <w:keepNext w:val="0"/>
              <w:keepLines w:val="0"/>
              <w:pageBreakBefore w:val="0"/>
              <w:kinsoku/>
              <w:wordWrap/>
              <w:overflowPunct/>
              <w:topLinePunct w:val="0"/>
              <w:autoSpaceDE/>
              <w:autoSpaceDN/>
              <w:bidi w:val="0"/>
              <w:adjustRightInd/>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000000"/>
                <w:sz w:val="24"/>
                <w:szCs w:val="24"/>
                <w:lang w:val="en-US" w:eastAsia="zh-CN"/>
              </w:rPr>
              <w:t>0731-8895542</w:t>
            </w:r>
          </w:p>
        </w:tc>
      </w:tr>
    </w:tbl>
    <w:p w14:paraId="7453446D">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56993F29"/>
    <w:rsid w:val="56993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99"/>
    <w:pPr>
      <w:ind w:left="1680"/>
    </w:pPr>
  </w:style>
  <w:style w:type="paragraph" w:styleId="3">
    <w:name w:val="footer"/>
    <w:basedOn w:val="1"/>
    <w:next w:val="2"/>
    <w:qFormat/>
    <w:uiPriority w:val="0"/>
    <w:pPr>
      <w:tabs>
        <w:tab w:val="center" w:pos="4153"/>
        <w:tab w:val="right" w:pos="8306"/>
      </w:tabs>
      <w:snapToGrid w:val="0"/>
      <w:jc w:val="left"/>
    </w:pPr>
    <w:rPr>
      <w:sz w:val="18"/>
      <w:szCs w:val="18"/>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2026-06-03T02:35:00Z</dcterms:created>
  <dc:creator>杨祖德</dc:creator>
  <cp:lastModifiedBy>杨祖德</cp:lastModifiedBy>
  <dcterms:modified xsi:type="dcterms:W3CDTF">2026-06-03T02:35:51Z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04851A4D7EC34FF8B80827D9694B2FAF_11</vt:lpwstr>
  </property>
</Properties>
</file>