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52FB8">
      <w:pPr>
        <w:keepNext w:val="0"/>
        <w:keepLines w:val="0"/>
        <w:pageBreakBefore w:val="0"/>
        <w:widowControl w:val="0"/>
        <w:kinsoku/>
        <w:wordWrap/>
        <w:overflowPunct/>
        <w:topLinePunct w:val="0"/>
        <w:autoSpaceDE/>
        <w:autoSpaceDN/>
        <w:bidi w:val="0"/>
        <w:adjustRightInd/>
        <w:snapToGrid/>
        <w:spacing w:line="570" w:lineRule="exact"/>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306BF2DA">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color w:val="auto"/>
        </w:rPr>
      </w:pPr>
    </w:p>
    <w:p w14:paraId="2382FE5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40"/>
          <w:szCs w:val="40"/>
          <w:lang w:val="en-US" w:eastAsia="zh-CN"/>
        </w:rPr>
      </w:pPr>
      <w:r>
        <w:rPr>
          <w:rFonts w:hint="default" w:ascii="Times New Roman" w:hAnsi="Times New Roman" w:eastAsia="方正小标宋简体" w:cs="Times New Roman"/>
          <w:color w:val="auto"/>
          <w:sz w:val="40"/>
          <w:szCs w:val="40"/>
        </w:rPr>
        <w:t>湖南省零碳园区</w:t>
      </w:r>
      <w:r>
        <w:rPr>
          <w:rFonts w:hint="default" w:ascii="Times New Roman" w:hAnsi="Times New Roman" w:eastAsia="方正小标宋简体" w:cs="Times New Roman"/>
          <w:color w:val="auto"/>
          <w:sz w:val="40"/>
          <w:szCs w:val="40"/>
          <w:lang w:val="en-US" w:eastAsia="zh-CN"/>
        </w:rPr>
        <w:t>碳排放核算方法</w:t>
      </w:r>
    </w:p>
    <w:p w14:paraId="3E67B478">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color w:val="auto"/>
          <w:lang w:val="en-US" w:eastAsia="zh-CN"/>
        </w:rPr>
      </w:pPr>
    </w:p>
    <w:p w14:paraId="65C26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一、总体方法</w:t>
      </w:r>
    </w:p>
    <w:p w14:paraId="148C9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园区碳排放的核算边界为一个自然年内园区内能源活动和工业生产过程产生的直接或间接碳排放之和</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仅核算二氧化碳排放。</w:t>
      </w:r>
    </w:p>
    <w:p w14:paraId="7C03C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lang w:val="en-US" w:eastAsia="zh-CN"/>
        </w:rPr>
        <w:t>园区</w:t>
      </w:r>
      <w:r>
        <w:rPr>
          <w:rFonts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lang w:val="en-US" w:eastAsia="zh-CN"/>
        </w:rPr>
        <w:t>能源活动</w:t>
      </w:r>
      <w:r>
        <w:rPr>
          <w:rFonts w:hint="default" w:ascii="Times New Roman" w:hAnsi="Times New Roman" w:eastAsia="仿宋" w:cs="Times New Roman"/>
          <w:color w:val="auto"/>
          <w:sz w:val="32"/>
          <w:szCs w:val="32"/>
          <w:vertAlign w:val="baseline"/>
          <w:lang w:val="en-US" w:eastAsia="zh-CN"/>
        </w:rPr>
        <w:t>+</w:t>
      </w:r>
      <w:r>
        <w:rPr>
          <w:rFonts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lang w:val="en-US" w:eastAsia="zh-CN"/>
        </w:rPr>
        <w:t>工业生产过程</w:t>
      </w:r>
    </w:p>
    <w:p w14:paraId="239DB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pacing w:val="0"/>
          <w:sz w:val="32"/>
          <w:szCs w:val="32"/>
        </w:rPr>
      </w:pPr>
      <w:r>
        <w:rPr>
          <w:rFonts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lang w:val="en-US" w:eastAsia="zh-CN"/>
        </w:rPr>
        <w:t>园区</w:t>
      </w:r>
      <w:r>
        <w:rPr>
          <w:rFonts w:ascii="Times New Roman" w:hAnsi="Times New Roman" w:eastAsia="仿宋" w:cs="Times New Roman"/>
          <w:color w:val="auto"/>
          <w:spacing w:val="0"/>
          <w:sz w:val="32"/>
          <w:szCs w:val="32"/>
        </w:rPr>
        <w:t>为园区碳排放量</w:t>
      </w:r>
      <w:r>
        <w:rPr>
          <w:rFonts w:hint="default" w:ascii="Times New Roman" w:hAnsi="Times New Roman" w:eastAsia="仿宋" w:cs="Times New Roman"/>
          <w:color w:val="auto"/>
          <w:spacing w:val="0"/>
          <w:sz w:val="32"/>
          <w:szCs w:val="32"/>
          <w:lang w:eastAsia="zh-CN"/>
        </w:rPr>
        <w:t>（</w:t>
      </w:r>
      <w:r>
        <w:rPr>
          <w:rFonts w:ascii="Times New Roman" w:hAnsi="Times New Roman" w:eastAsia="仿宋" w:cs="Times New Roman"/>
          <w:color w:val="auto"/>
          <w:spacing w:val="0"/>
          <w:sz w:val="32"/>
          <w:szCs w:val="32"/>
        </w:rPr>
        <w:t>万吨</w:t>
      </w:r>
      <w:r>
        <w:rPr>
          <w:rFonts w:hint="default" w:ascii="Times New Roman" w:hAnsi="Times New Roman" w:eastAsia="仿宋" w:cs="Times New Roman"/>
          <w:color w:val="auto"/>
          <w:spacing w:val="0"/>
          <w:sz w:val="32"/>
          <w:szCs w:val="32"/>
          <w:lang w:eastAsia="zh-CN"/>
        </w:rPr>
        <w:t>）</w:t>
      </w:r>
      <w:r>
        <w:rPr>
          <w:rFonts w:hint="default" w:eastAsia="仿宋" w:cs="Times New Roman"/>
          <w:color w:val="auto"/>
          <w:spacing w:val="0"/>
          <w:sz w:val="32"/>
          <w:szCs w:val="32"/>
          <w:lang w:eastAsia="zh-CN"/>
        </w:rPr>
        <w:t>；</w:t>
      </w:r>
    </w:p>
    <w:p w14:paraId="4E77C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lang w:val="en-US" w:eastAsia="zh-CN"/>
        </w:rPr>
        <w:t>能源活动</w:t>
      </w:r>
      <w:r>
        <w:rPr>
          <w:rFonts w:hint="default" w:ascii="Times New Roman" w:hAnsi="Times New Roman" w:eastAsia="仿宋" w:cs="Times New Roman"/>
          <w:color w:val="auto"/>
          <w:sz w:val="32"/>
          <w:szCs w:val="32"/>
          <w:vertAlign w:val="baseline"/>
          <w:lang w:val="en-US" w:eastAsia="zh-CN"/>
        </w:rPr>
        <w:t>为</w:t>
      </w:r>
      <w:r>
        <w:rPr>
          <w:rFonts w:ascii="Times New Roman" w:hAnsi="Times New Roman" w:eastAsia="仿宋" w:cs="Times New Roman"/>
          <w:color w:val="auto"/>
          <w:spacing w:val="0"/>
          <w:sz w:val="32"/>
          <w:szCs w:val="32"/>
        </w:rPr>
        <w:t>园区能源活动</w:t>
      </w:r>
      <w:r>
        <w:rPr>
          <w:rFonts w:hint="default" w:ascii="Times New Roman" w:hAnsi="Times New Roman" w:eastAsia="仿宋" w:cs="Times New Roman"/>
          <w:color w:val="auto"/>
          <w:spacing w:val="0"/>
          <w:sz w:val="32"/>
          <w:szCs w:val="32"/>
          <w:lang w:val="en-US" w:eastAsia="zh-CN"/>
        </w:rPr>
        <w:t>产生的</w:t>
      </w:r>
      <w:r>
        <w:rPr>
          <w:rFonts w:ascii="Times New Roman" w:hAnsi="Times New Roman" w:eastAsia="仿宋" w:cs="Times New Roman"/>
          <w:color w:val="auto"/>
          <w:spacing w:val="0"/>
          <w:sz w:val="32"/>
          <w:szCs w:val="32"/>
        </w:rPr>
        <w:t>碳排放量</w:t>
      </w:r>
      <w:r>
        <w:rPr>
          <w:rFonts w:hint="default" w:ascii="Times New Roman" w:hAnsi="Times New Roman" w:eastAsia="仿宋" w:cs="Times New Roman"/>
          <w:color w:val="auto"/>
          <w:sz w:val="32"/>
          <w:szCs w:val="32"/>
          <w:vertAlign w:val="baseline"/>
          <w:lang w:val="en-US" w:eastAsia="zh-CN"/>
        </w:rPr>
        <w:t>（万吨）</w:t>
      </w:r>
      <w:r>
        <w:rPr>
          <w:rFonts w:hint="default" w:eastAsia="仿宋" w:cs="Times New Roman"/>
          <w:color w:val="auto"/>
          <w:sz w:val="32"/>
          <w:szCs w:val="32"/>
          <w:vertAlign w:val="baseline"/>
          <w:lang w:val="en-US" w:eastAsia="zh-CN"/>
        </w:rPr>
        <w:t>；</w:t>
      </w:r>
    </w:p>
    <w:p w14:paraId="51C54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E</w:t>
      </w:r>
      <w:r>
        <w:rPr>
          <w:rFonts w:hint="default" w:ascii="Times New Roman" w:hAnsi="Times New Roman" w:eastAsia="仿宋" w:cs="Times New Roman"/>
          <w:color w:val="auto"/>
          <w:sz w:val="32"/>
          <w:szCs w:val="32"/>
          <w:vertAlign w:val="subscript"/>
          <w:lang w:val="en-US" w:eastAsia="zh-CN"/>
        </w:rPr>
        <w:t>工业生产过程</w:t>
      </w:r>
      <w:r>
        <w:rPr>
          <w:rFonts w:hint="default" w:ascii="Times New Roman" w:hAnsi="Times New Roman" w:eastAsia="仿宋" w:cs="Times New Roman"/>
          <w:color w:val="auto"/>
          <w:sz w:val="32"/>
          <w:szCs w:val="32"/>
          <w:vertAlign w:val="baseline"/>
          <w:lang w:val="en-US" w:eastAsia="zh-CN"/>
        </w:rPr>
        <w:t>为工业生产过程产生的碳排放量（万吨）</w:t>
      </w:r>
      <w:r>
        <w:rPr>
          <w:rFonts w:hint="default" w:eastAsia="仿宋" w:cs="Times New Roman"/>
          <w:color w:val="auto"/>
          <w:sz w:val="32"/>
          <w:szCs w:val="32"/>
          <w:vertAlign w:val="baseline"/>
          <w:lang w:val="en-US" w:eastAsia="zh-CN"/>
        </w:rPr>
        <w:t>。</w:t>
      </w:r>
    </w:p>
    <w:p w14:paraId="49E13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能源活动碳排放</w:t>
      </w:r>
    </w:p>
    <w:p w14:paraId="5E774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一</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核算范围。</w:t>
      </w:r>
      <w:r>
        <w:rPr>
          <w:rFonts w:hint="default" w:ascii="Times New Roman" w:hAnsi="Times New Roman" w:eastAsia="仿宋" w:cs="Times New Roman"/>
          <w:color w:val="auto"/>
          <w:sz w:val="32"/>
          <w:szCs w:val="32"/>
        </w:rPr>
        <w:t>园区能源活动碳排放</w:t>
      </w:r>
      <w:r>
        <w:rPr>
          <w:rFonts w:hint="default" w:ascii="Times New Roman" w:hAnsi="Times New Roman" w:eastAsia="仿宋" w:cs="Times New Roman"/>
          <w:color w:val="auto"/>
          <w:sz w:val="32"/>
          <w:szCs w:val="32"/>
          <w:lang w:val="en-US" w:eastAsia="zh-CN"/>
        </w:rPr>
        <w:t>主要包括</w:t>
      </w:r>
      <w:r>
        <w:rPr>
          <w:rFonts w:hint="default" w:ascii="Times New Roman" w:hAnsi="Times New Roman" w:eastAsia="仿宋" w:cs="Times New Roman"/>
          <w:color w:val="auto"/>
          <w:sz w:val="32"/>
          <w:szCs w:val="32"/>
        </w:rPr>
        <w:t>化石能源用作燃料产生的碳排</w:t>
      </w:r>
      <w:r>
        <w:rPr>
          <w:rFonts w:ascii="Times New Roman" w:hAnsi="Times New Roman" w:eastAsia="仿宋" w:cs="Times New Roman"/>
          <w:color w:val="auto"/>
          <w:sz w:val="32"/>
          <w:szCs w:val="32"/>
        </w:rPr>
        <w:t>放、能源加工转</w:t>
      </w:r>
      <w:r>
        <w:rPr>
          <w:rFonts w:hint="default" w:ascii="Times New Roman" w:hAnsi="Times New Roman" w:eastAsia="仿宋" w:cs="Times New Roman"/>
          <w:color w:val="auto"/>
          <w:sz w:val="32"/>
          <w:szCs w:val="32"/>
          <w:lang w:val="en-US" w:eastAsia="zh-CN"/>
        </w:rPr>
        <w:t>换</w:t>
      </w:r>
      <w:r>
        <w:rPr>
          <w:rFonts w:ascii="Times New Roman" w:hAnsi="Times New Roman" w:eastAsia="仿宋" w:cs="Times New Roman"/>
          <w:color w:val="auto"/>
          <w:sz w:val="32"/>
          <w:szCs w:val="32"/>
        </w:rPr>
        <w:t>过程产生的碳排放、园区电力与热力净受入蕴含的间接碳排放之和</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园区中如有用于国际航空航海的燃料燃烧碳排放，暂不从总量中扣减，但须单独列出。</w:t>
      </w:r>
    </w:p>
    <w:p w14:paraId="2A74A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二</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核算方法。</w:t>
      </w:r>
      <w:r>
        <w:rPr>
          <w:rFonts w:hint="default" w:ascii="Times New Roman" w:hAnsi="Times New Roman" w:eastAsia="仿宋" w:cs="Times New Roman"/>
          <w:color w:val="auto"/>
          <w:sz w:val="32"/>
          <w:szCs w:val="32"/>
        </w:rPr>
        <w:t>园区能源活动碳排放为化石能源用作燃料产生的碳排</w:t>
      </w:r>
      <w:r>
        <w:rPr>
          <w:rFonts w:ascii="Times New Roman" w:hAnsi="Times New Roman" w:eastAsia="仿宋" w:cs="Times New Roman"/>
          <w:color w:val="auto"/>
          <w:sz w:val="32"/>
          <w:szCs w:val="32"/>
        </w:rPr>
        <w:t>放、能源加工转</w:t>
      </w:r>
      <w:r>
        <w:rPr>
          <w:rFonts w:hint="default" w:ascii="Times New Roman" w:hAnsi="Times New Roman" w:eastAsia="仿宋" w:cs="Times New Roman"/>
          <w:color w:val="auto"/>
          <w:sz w:val="32"/>
          <w:szCs w:val="32"/>
          <w:lang w:val="en-US" w:eastAsia="zh-CN"/>
        </w:rPr>
        <w:t>换</w:t>
      </w:r>
      <w:r>
        <w:rPr>
          <w:rFonts w:ascii="Times New Roman" w:hAnsi="Times New Roman" w:eastAsia="仿宋" w:cs="Times New Roman"/>
          <w:color w:val="auto"/>
          <w:sz w:val="32"/>
          <w:szCs w:val="32"/>
        </w:rPr>
        <w:t>过程产生的碳排放、园区电力与热力净受入蕴含的间接碳排放之和</w:t>
      </w:r>
      <w:r>
        <w:rPr>
          <w:rFonts w:hint="default" w:ascii="Times New Roman" w:hAnsi="Times New Roman" w:eastAsia="仿宋" w:cs="Times New Roman"/>
          <w:color w:val="auto"/>
          <w:sz w:val="32"/>
          <w:szCs w:val="32"/>
          <w:lang w:eastAsia="zh-CN"/>
        </w:rPr>
        <w:t>。</w:t>
      </w:r>
    </w:p>
    <w:p w14:paraId="44961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lang w:val="en-US" w:eastAsia="zh-CN"/>
        </w:rPr>
        <w:t>能源活动</w:t>
      </w:r>
      <w:r>
        <w:rPr>
          <w:rFonts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lang w:val="en-US" w:eastAsia="zh-CN"/>
        </w:rPr>
        <w:t>用作燃料</w:t>
      </w:r>
      <w:r>
        <w:rPr>
          <w:rFonts w:hint="default" w:ascii="Times New Roman" w:hAnsi="Times New Roman" w:eastAsia="仿宋" w:cs="Times New Roman"/>
          <w:color w:val="auto"/>
          <w:sz w:val="32"/>
          <w:szCs w:val="32"/>
          <w:vertAlign w:val="baseline"/>
          <w:lang w:val="en-US" w:eastAsia="zh-CN"/>
        </w:rPr>
        <w:t>+</w:t>
      </w:r>
      <w:r>
        <w:rPr>
          <w:rFonts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lang w:val="en-US" w:eastAsia="zh-CN"/>
        </w:rPr>
        <w:t>加工转换</w:t>
      </w:r>
      <w:r>
        <w:rPr>
          <w:rFonts w:hint="default" w:ascii="Times New Roman" w:hAnsi="Times New Roman" w:eastAsia="仿宋" w:cs="Times New Roman"/>
          <w:color w:val="auto"/>
          <w:sz w:val="32"/>
          <w:szCs w:val="32"/>
          <w:vertAlign w:val="baseline"/>
          <w:lang w:val="en-US" w:eastAsia="zh-CN"/>
        </w:rPr>
        <w:t>+</w:t>
      </w:r>
      <w:r>
        <w:rPr>
          <w:rFonts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lang w:val="en-US" w:eastAsia="zh-CN"/>
        </w:rPr>
        <w:t>间接排放</w:t>
      </w:r>
    </w:p>
    <w:p w14:paraId="0F742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式中：</w:t>
      </w:r>
    </w:p>
    <w:p w14:paraId="0CC45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lang w:val="en-US" w:eastAsia="zh-CN"/>
        </w:rPr>
        <w:t>用作燃料</w:t>
      </w:r>
      <w:r>
        <w:rPr>
          <w:rFonts w:hint="default" w:ascii="Times New Roman" w:hAnsi="Times New Roman" w:eastAsia="仿宋" w:cs="Times New Roman"/>
          <w:color w:val="auto"/>
          <w:sz w:val="32"/>
          <w:szCs w:val="32"/>
          <w:vertAlign w:val="baseline"/>
          <w:lang w:val="en-US" w:eastAsia="zh-CN"/>
        </w:rPr>
        <w:t>为化石能源用作燃料产生的碳排放量（万吨）</w:t>
      </w:r>
      <w:r>
        <w:rPr>
          <w:rFonts w:hint="default" w:eastAsia="仿宋" w:cs="Times New Roman"/>
          <w:color w:val="auto"/>
          <w:sz w:val="32"/>
          <w:szCs w:val="32"/>
          <w:vertAlign w:val="baseline"/>
          <w:lang w:val="en-US" w:eastAsia="zh-CN"/>
        </w:rPr>
        <w:t>；</w:t>
      </w:r>
    </w:p>
    <w:p w14:paraId="6D69B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E</w:t>
      </w:r>
      <w:r>
        <w:rPr>
          <w:rFonts w:hint="default" w:ascii="Times New Roman" w:hAnsi="Times New Roman" w:eastAsia="仿宋" w:cs="Times New Roman"/>
          <w:color w:val="auto"/>
          <w:sz w:val="32"/>
          <w:szCs w:val="32"/>
          <w:vertAlign w:val="subscript"/>
          <w:lang w:val="en-US" w:eastAsia="zh-CN"/>
        </w:rPr>
        <w:t>加工转换</w:t>
      </w:r>
      <w:r>
        <w:rPr>
          <w:rFonts w:hint="default" w:ascii="Times New Roman" w:hAnsi="Times New Roman" w:eastAsia="仿宋" w:cs="Times New Roman"/>
          <w:color w:val="auto"/>
          <w:sz w:val="32"/>
          <w:szCs w:val="32"/>
          <w:vertAlign w:val="baseline"/>
          <w:lang w:val="en-US" w:eastAsia="zh-CN"/>
        </w:rPr>
        <w:t>为能源加工转换过程产生的碳排放量（万吨）</w:t>
      </w:r>
      <w:r>
        <w:rPr>
          <w:rFonts w:hint="default" w:eastAsia="仿宋" w:cs="Times New Roman"/>
          <w:color w:val="auto"/>
          <w:sz w:val="32"/>
          <w:szCs w:val="32"/>
          <w:vertAlign w:val="baseline"/>
          <w:lang w:val="en-US" w:eastAsia="zh-CN"/>
        </w:rPr>
        <w:t>；</w:t>
      </w:r>
    </w:p>
    <w:p w14:paraId="38185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E</w:t>
      </w:r>
      <w:r>
        <w:rPr>
          <w:rFonts w:hint="default" w:ascii="Times New Roman" w:hAnsi="Times New Roman" w:eastAsia="仿宋" w:cs="Times New Roman"/>
          <w:color w:val="auto"/>
          <w:sz w:val="32"/>
          <w:szCs w:val="32"/>
          <w:vertAlign w:val="subscript"/>
          <w:lang w:val="en-US" w:eastAsia="zh-CN"/>
        </w:rPr>
        <w:t>间接排放</w:t>
      </w:r>
      <w:r>
        <w:rPr>
          <w:rFonts w:hint="default" w:ascii="Times New Roman" w:hAnsi="Times New Roman" w:eastAsia="仿宋" w:cs="Times New Roman"/>
          <w:color w:val="auto"/>
          <w:sz w:val="32"/>
          <w:szCs w:val="32"/>
          <w:vertAlign w:val="baseline"/>
          <w:lang w:val="en-US" w:eastAsia="zh-CN"/>
        </w:rPr>
        <w:t>为园区化石能源电力与热力净受入蕴含的间接碳排放量（万吨）。</w:t>
      </w:r>
    </w:p>
    <w:p w14:paraId="48A168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b/>
          <w:bCs/>
          <w:color w:val="auto"/>
          <w:sz w:val="32"/>
          <w:szCs w:val="32"/>
          <w:vertAlign w:val="baseline"/>
          <w:lang w:val="en-US" w:eastAsia="zh-CN"/>
        </w:rPr>
        <w:t>1.化石能源用作燃料产生的碳排放。</w:t>
      </w:r>
      <w:r>
        <w:rPr>
          <w:rFonts w:hint="default" w:ascii="Times New Roman" w:hAnsi="Times New Roman" w:eastAsia="仿宋" w:cs="Times New Roman"/>
          <w:b w:val="0"/>
          <w:bCs w:val="0"/>
          <w:color w:val="auto"/>
          <w:sz w:val="32"/>
          <w:szCs w:val="32"/>
          <w:vertAlign w:val="baseline"/>
          <w:lang w:val="en-US" w:eastAsia="zh-CN"/>
        </w:rPr>
        <w:t>化</w:t>
      </w:r>
      <w:r>
        <w:rPr>
          <w:rFonts w:hint="default" w:ascii="Times New Roman" w:hAnsi="Times New Roman" w:eastAsia="仿宋" w:cs="Times New Roman"/>
          <w:color w:val="auto"/>
          <w:sz w:val="32"/>
          <w:szCs w:val="32"/>
          <w:vertAlign w:val="baseline"/>
          <w:lang w:val="en-US" w:eastAsia="zh-CN"/>
        </w:rPr>
        <w:t>石能源用作燃料燃烧产生的碳排放发生在化石能源燃烧以提供动力和热量的过程中，燃烧后不再产生其他含碳二次能源，包括终端消费（不含用作原料、材料）、火力发电、供热等能源活动类型，采用各化石能源品种消费量乘以相应排放因子进行计算。</w:t>
      </w:r>
    </w:p>
    <w:p w14:paraId="5E4EB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E</w:t>
      </w:r>
      <w:r>
        <w:rPr>
          <w:rFonts w:hint="default" w:ascii="Times New Roman" w:hAnsi="Times New Roman" w:eastAsia="仿宋" w:cs="Times New Roman"/>
          <w:color w:val="auto"/>
          <w:sz w:val="32"/>
          <w:szCs w:val="32"/>
          <w:vertAlign w:val="subscript"/>
          <w:lang w:val="en-US" w:eastAsia="zh-CN"/>
        </w:rPr>
        <w:t>用作燃料</w:t>
      </w:r>
      <w:r>
        <w:rPr>
          <w:rFonts w:hint="default" w:ascii="Times New Roman" w:hAnsi="Times New Roman" w:eastAsia="仿宋" w:cs="Times New Roman"/>
          <w:color w:val="auto"/>
          <w:sz w:val="32"/>
          <w:szCs w:val="32"/>
          <w:vertAlign w:val="baseline"/>
          <w:lang w:val="en-US" w:eastAsia="zh-CN"/>
        </w:rPr>
        <w:t>=∑（燃料消耗量</w:t>
      </w:r>
      <w:r>
        <w:rPr>
          <w:rFonts w:hint="default" w:ascii="Times New Roman" w:hAnsi="Times New Roman" w:eastAsia="仿宋" w:cs="Times New Roman"/>
          <w:color w:val="auto"/>
          <w:sz w:val="32"/>
          <w:szCs w:val="32"/>
          <w:vertAlign w:val="subscript"/>
          <w:lang w:val="en-US" w:eastAsia="zh-CN"/>
        </w:rPr>
        <w:t>ij</w:t>
      </w:r>
      <w:r>
        <w:rPr>
          <w:rFonts w:hint="default" w:ascii="Times New Roman" w:hAnsi="Times New Roman" w:eastAsia="仿宋" w:cs="Times New Roman"/>
          <w:color w:val="auto"/>
          <w:sz w:val="32"/>
          <w:szCs w:val="32"/>
          <w:vertAlign w:val="baseline"/>
          <w:lang w:val="en-US" w:eastAsia="zh-CN"/>
        </w:rPr>
        <w:t>×排放因子</w:t>
      </w:r>
      <w:r>
        <w:rPr>
          <w:rFonts w:hint="default" w:ascii="Times New Roman" w:hAnsi="Times New Roman" w:eastAsia="仿宋" w:cs="Times New Roman"/>
          <w:color w:val="auto"/>
          <w:sz w:val="32"/>
          <w:szCs w:val="32"/>
          <w:vertAlign w:val="subscript"/>
          <w:lang w:val="en-US" w:eastAsia="zh-CN"/>
        </w:rPr>
        <w:t>ij</w:t>
      </w:r>
      <w:r>
        <w:rPr>
          <w:rFonts w:hint="default" w:ascii="Times New Roman" w:hAnsi="Times New Roman" w:eastAsia="仿宋" w:cs="Times New Roman"/>
          <w:color w:val="auto"/>
          <w:sz w:val="32"/>
          <w:szCs w:val="32"/>
          <w:vertAlign w:val="baseline"/>
          <w:lang w:val="en-US" w:eastAsia="zh-CN"/>
        </w:rPr>
        <w:t>）</w:t>
      </w:r>
    </w:p>
    <w:p w14:paraId="5664A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式中：</w:t>
      </w:r>
    </w:p>
    <w:p w14:paraId="11B7C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i为化石能源品种；</w:t>
      </w:r>
    </w:p>
    <w:p w14:paraId="17354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j为能源活动类型</w:t>
      </w:r>
      <w:r>
        <w:rPr>
          <w:rFonts w:hint="default" w:eastAsia="仿宋" w:cs="Times New Roman"/>
          <w:color w:val="auto"/>
          <w:sz w:val="32"/>
          <w:szCs w:val="32"/>
          <w:vertAlign w:val="baseline"/>
          <w:lang w:val="en-US" w:eastAsia="zh-CN"/>
        </w:rPr>
        <w:t>。</w:t>
      </w:r>
    </w:p>
    <w:p w14:paraId="0DA563F0">
      <w:pPr>
        <w:spacing w:line="560" w:lineRule="exact"/>
        <w:ind w:firstLine="480" w:firstLineChars="200"/>
        <w:jc w:val="both"/>
        <w:rPr>
          <w:rFonts w:hint="default" w:ascii="Times New Roman" w:hAnsi="Times New Roman" w:eastAsia="仿宋" w:cs="Times New Roman"/>
          <w:snapToGrid/>
          <w:color w:val="auto"/>
          <w:spacing w:val="0"/>
          <w:kern w:val="21"/>
          <w:sz w:val="24"/>
          <w:szCs w:val="24"/>
          <w:highlight w:val="none"/>
          <w:vertAlign w:val="baseline"/>
          <w:lang w:val="en-US" w:eastAsia="zh-CN"/>
        </w:rPr>
      </w:pPr>
      <w:r>
        <w:rPr>
          <w:rFonts w:hint="default" w:ascii="Times New Roman" w:hAnsi="Times New Roman" w:eastAsia="仿宋" w:cs="Times New Roman"/>
          <w:snapToGrid/>
          <w:color w:val="auto"/>
          <w:spacing w:val="0"/>
          <w:kern w:val="21"/>
          <w:sz w:val="24"/>
          <w:szCs w:val="24"/>
          <w:highlight w:val="none"/>
          <w:vertAlign w:val="baseline"/>
          <w:lang w:val="en-US" w:eastAsia="zh-CN"/>
        </w:rPr>
        <w:t>注：</w:t>
      </w:r>
      <w:r>
        <w:rPr>
          <w:rFonts w:hint="default" w:ascii="Times New Roman" w:hAnsi="Times New Roman" w:eastAsia="仿宋" w:cs="Times New Roman"/>
          <w:color w:val="auto"/>
          <w:kern w:val="2"/>
          <w:sz w:val="21"/>
          <w:szCs w:val="24"/>
          <w:highlight w:val="none"/>
          <w:lang w:val="en-US" w:eastAsia="zh-CN" w:bidi="ar-SA"/>
        </w:rPr>
        <w:t>化石能源的低位发热量按顺序依次采用《综合能耗计算通则》</w:t>
      </w:r>
      <w:r>
        <w:rPr>
          <w:rFonts w:hint="eastAsia" w:eastAsia="仿宋" w:cs="Times New Roman"/>
          <w:color w:val="auto"/>
          <w:kern w:val="2"/>
          <w:sz w:val="21"/>
          <w:szCs w:val="24"/>
          <w:highlight w:val="none"/>
          <w:lang w:val="en-US" w:eastAsia="zh-CN" w:bidi="ar-SA"/>
        </w:rPr>
        <w:t>（</w:t>
      </w:r>
      <w:r>
        <w:rPr>
          <w:rFonts w:hint="default" w:ascii="Times New Roman" w:hAnsi="Times New Roman" w:eastAsia="仿宋" w:cs="Times New Roman"/>
          <w:color w:val="auto"/>
          <w:kern w:val="2"/>
          <w:sz w:val="21"/>
          <w:szCs w:val="24"/>
          <w:highlight w:val="none"/>
          <w:lang w:val="en-US" w:eastAsia="zh-CN" w:bidi="ar-SA"/>
        </w:rPr>
        <w:t>GB/T 2589</w:t>
      </w:r>
      <w:r>
        <w:rPr>
          <w:rFonts w:hint="eastAsia" w:eastAsia="仿宋" w:cs="Times New Roman"/>
          <w:color w:val="auto"/>
          <w:kern w:val="2"/>
          <w:sz w:val="21"/>
          <w:szCs w:val="24"/>
          <w:highlight w:val="none"/>
          <w:lang w:val="en-US" w:eastAsia="zh-CN" w:bidi="ar-SA"/>
        </w:rPr>
        <w:t>）</w:t>
      </w:r>
      <w:r>
        <w:rPr>
          <w:rFonts w:hint="default" w:ascii="Times New Roman" w:hAnsi="Times New Roman" w:eastAsia="仿宋" w:cs="Times New Roman"/>
          <w:color w:val="auto"/>
          <w:kern w:val="2"/>
          <w:sz w:val="21"/>
          <w:szCs w:val="24"/>
          <w:highlight w:val="none"/>
          <w:lang w:val="en-US" w:eastAsia="zh-CN" w:bidi="ar-SA"/>
        </w:rPr>
        <w:t>、最新年份中国能源统计年鉴和最新年份湖南省能源统计报表制度列示数据；不同化石能源品种和能源活动类型的排放因子采用国家温室气体排放因子数据库排放因子，计算时注明参考数据来源</w:t>
      </w:r>
      <w:r>
        <w:rPr>
          <w:rFonts w:hint="default" w:ascii="Times New Roman" w:hAnsi="Times New Roman" w:eastAsia="仿宋" w:cs="Times New Roman"/>
          <w:snapToGrid/>
          <w:color w:val="auto"/>
          <w:spacing w:val="0"/>
          <w:kern w:val="21"/>
          <w:sz w:val="24"/>
          <w:szCs w:val="24"/>
          <w:highlight w:val="none"/>
          <w:vertAlign w:val="baseline"/>
          <w:lang w:val="en-US" w:eastAsia="zh-CN"/>
        </w:rPr>
        <w:t>。</w:t>
      </w:r>
    </w:p>
    <w:p w14:paraId="539D3426">
      <w:pPr>
        <w:spacing w:line="560" w:lineRule="exact"/>
        <w:ind w:firstLine="643"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2.能源加工转换过程产生的碳排放。</w:t>
      </w:r>
      <w:r>
        <w:rPr>
          <w:rFonts w:hint="default" w:ascii="Times New Roman" w:hAnsi="Times New Roman" w:eastAsia="仿宋" w:cs="Times New Roman"/>
          <w:color w:val="auto"/>
          <w:sz w:val="32"/>
          <w:szCs w:val="32"/>
          <w:lang w:val="en-US" w:eastAsia="zh-CN"/>
        </w:rPr>
        <w:t>能源加工转换过程产生的碳排放发生在炼油及煤制油、制气等能源加工转换过程中，这部分投入的能源经过一定的工艺流程，加工或转换成为其他的含碳二次能源，例如高炉煤气、转炉煤气、其他煤气、汽油、煤油、柴油、燃料油等。这些过程基于碳平衡原理计算碳损失量的排放，即：</w:t>
      </w:r>
    </w:p>
    <w:p w14:paraId="23CD43EE">
      <w:pPr>
        <w:spacing w:line="560" w:lineRule="exac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E</w:t>
      </w:r>
      <w:r>
        <w:rPr>
          <w:rFonts w:hint="default" w:ascii="Times New Roman" w:hAnsi="Times New Roman" w:eastAsia="仿宋" w:cs="Times New Roman"/>
          <w:color w:val="auto"/>
          <w:sz w:val="32"/>
          <w:szCs w:val="32"/>
          <w:vertAlign w:val="subscript"/>
          <w:lang w:val="en-US" w:eastAsia="zh-CN"/>
        </w:rPr>
        <w:t>加工转换</w:t>
      </w:r>
      <w:r>
        <w:rPr>
          <w:rFonts w:hint="default" w:ascii="Times New Roman" w:hAnsi="Times New Roman" w:eastAsia="仿宋" w:cs="Times New Roman"/>
          <w:color w:val="auto"/>
          <w:sz w:val="32"/>
          <w:szCs w:val="32"/>
          <w:lang w:val="en-US" w:eastAsia="zh-CN"/>
        </w:rPr>
        <w:t>=∑（能源投入量</w:t>
      </w:r>
      <w:r>
        <w:rPr>
          <w:rFonts w:hint="default" w:ascii="Times New Roman" w:hAnsi="Times New Roman" w:eastAsia="仿宋" w:cs="Times New Roman"/>
          <w:color w:val="auto"/>
          <w:sz w:val="32"/>
          <w:szCs w:val="32"/>
          <w:vertAlign w:val="subscript"/>
          <w:lang w:val="en-US" w:eastAsia="zh-CN"/>
        </w:rPr>
        <w:t>ij</w:t>
      </w:r>
      <w:r>
        <w:rPr>
          <w:rFonts w:hint="default" w:ascii="Times New Roman" w:hAnsi="Times New Roman" w:eastAsia="仿宋" w:cs="Times New Roman"/>
          <w:color w:val="auto"/>
          <w:sz w:val="32"/>
          <w:szCs w:val="32"/>
          <w:lang w:val="en-US" w:eastAsia="zh-CN"/>
        </w:rPr>
        <w:t>×排放因子</w:t>
      </w:r>
      <w:r>
        <w:rPr>
          <w:rFonts w:hint="default" w:ascii="Times New Roman" w:hAnsi="Times New Roman" w:eastAsia="仿宋" w:cs="Times New Roman"/>
          <w:color w:val="auto"/>
          <w:sz w:val="32"/>
          <w:szCs w:val="32"/>
          <w:vertAlign w:val="subscript"/>
          <w:lang w:val="en-US" w:eastAsia="zh-CN"/>
        </w:rPr>
        <w:t>ij</w:t>
      </w:r>
      <w:r>
        <w:rPr>
          <w:rFonts w:hint="default" w:ascii="Times New Roman" w:hAnsi="Times New Roman" w:eastAsia="仿宋" w:cs="Times New Roman"/>
          <w:color w:val="auto"/>
          <w:sz w:val="32"/>
          <w:szCs w:val="32"/>
          <w:lang w:val="en-US" w:eastAsia="zh-CN"/>
        </w:rPr>
        <w:t>）-∑（能源产出量</w:t>
      </w:r>
      <w:r>
        <w:rPr>
          <w:rFonts w:hint="default" w:ascii="Times New Roman" w:hAnsi="Times New Roman" w:eastAsia="仿宋" w:cs="Times New Roman"/>
          <w:color w:val="auto"/>
          <w:sz w:val="32"/>
          <w:szCs w:val="32"/>
          <w:vertAlign w:val="subscript"/>
          <w:lang w:val="en-US" w:eastAsia="zh-CN"/>
        </w:rPr>
        <w:t>i</w:t>
      </w:r>
      <w:r>
        <w:rPr>
          <w:rFonts w:hint="default" w:ascii="Times New Roman" w:hAnsi="Times New Roman" w:eastAsia="仿宋" w:cs="Times New Roman"/>
          <w:color w:val="auto"/>
          <w:sz w:val="32"/>
          <w:szCs w:val="32"/>
          <w:vertAlign w:val="baseline"/>
          <w:lang w:val="en-US" w:eastAsia="zh-CN"/>
        </w:rPr>
        <w:t>'</w:t>
      </w:r>
      <w:r>
        <w:rPr>
          <w:rFonts w:hint="default" w:ascii="Times New Roman" w:hAnsi="Times New Roman" w:eastAsia="仿宋" w:cs="Times New Roman"/>
          <w:color w:val="auto"/>
          <w:sz w:val="32"/>
          <w:szCs w:val="32"/>
          <w:vertAlign w:val="subscript"/>
          <w:lang w:val="en-US" w:eastAsia="zh-CN"/>
        </w:rPr>
        <w:t>j</w:t>
      </w:r>
      <w:r>
        <w:rPr>
          <w:rFonts w:hint="default" w:ascii="Times New Roman" w:hAnsi="Times New Roman" w:eastAsia="仿宋" w:cs="Times New Roman"/>
          <w:color w:val="auto"/>
          <w:sz w:val="32"/>
          <w:szCs w:val="32"/>
          <w:lang w:val="en-US" w:eastAsia="zh-CN"/>
        </w:rPr>
        <w:t>×排放因子</w:t>
      </w:r>
      <w:r>
        <w:rPr>
          <w:rFonts w:hint="default" w:ascii="Times New Roman" w:hAnsi="Times New Roman" w:eastAsia="仿宋" w:cs="Times New Roman"/>
          <w:color w:val="auto"/>
          <w:sz w:val="32"/>
          <w:szCs w:val="32"/>
          <w:vertAlign w:val="subscript"/>
          <w:lang w:val="en-US" w:eastAsia="zh-CN"/>
        </w:rPr>
        <w:t>i</w:t>
      </w:r>
      <w:r>
        <w:rPr>
          <w:rFonts w:hint="default" w:ascii="Times New Roman" w:hAnsi="Times New Roman" w:eastAsia="仿宋" w:cs="Times New Roman"/>
          <w:color w:val="auto"/>
          <w:sz w:val="32"/>
          <w:szCs w:val="32"/>
          <w:vertAlign w:val="baseline"/>
          <w:lang w:val="en-US" w:eastAsia="zh-CN"/>
        </w:rPr>
        <w:t>'</w:t>
      </w:r>
      <w:r>
        <w:rPr>
          <w:rFonts w:hint="default" w:ascii="Times New Roman" w:hAnsi="Times New Roman" w:eastAsia="仿宋" w:cs="Times New Roman"/>
          <w:color w:val="auto"/>
          <w:sz w:val="32"/>
          <w:szCs w:val="32"/>
          <w:vertAlign w:val="subscript"/>
          <w:lang w:val="en-US" w:eastAsia="zh-CN"/>
        </w:rPr>
        <w:t>j</w:t>
      </w:r>
      <w:r>
        <w:rPr>
          <w:rFonts w:hint="default" w:ascii="Times New Roman" w:hAnsi="Times New Roman" w:eastAsia="仿宋" w:cs="Times New Roman"/>
          <w:color w:val="auto"/>
          <w:sz w:val="32"/>
          <w:szCs w:val="32"/>
          <w:lang w:val="en-US" w:eastAsia="zh-CN"/>
        </w:rPr>
        <w:t>）</w:t>
      </w:r>
    </w:p>
    <w:p w14:paraId="4F494E2A">
      <w:pPr>
        <w:spacing w:line="560" w:lineRule="exac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式中：</w:t>
      </w:r>
    </w:p>
    <w:p w14:paraId="50192D87">
      <w:pPr>
        <w:spacing w:line="560" w:lineRule="exac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i为投入化石能源品种；</w:t>
      </w:r>
    </w:p>
    <w:p w14:paraId="0535817F">
      <w:p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i'为产出化石能源品种；</w:t>
      </w:r>
    </w:p>
    <w:p w14:paraId="3B9E6209">
      <w:p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j为能源活动类型。</w:t>
      </w:r>
    </w:p>
    <w:p w14:paraId="625E4E6C">
      <w:pPr>
        <w:spacing w:line="560" w:lineRule="exact"/>
        <w:ind w:firstLine="643"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b/>
          <w:bCs/>
          <w:color w:val="auto"/>
          <w:sz w:val="32"/>
          <w:szCs w:val="32"/>
          <w:vertAlign w:val="baseline"/>
          <w:lang w:val="en-US" w:eastAsia="zh-CN"/>
        </w:rPr>
        <w:t>3.园区电力与热力净受入蕴含的间接碳排放。</w:t>
      </w:r>
      <w:r>
        <w:rPr>
          <w:rFonts w:hint="default" w:ascii="Times New Roman" w:hAnsi="Times New Roman" w:eastAsia="仿宋" w:cs="Times New Roman"/>
          <w:color w:val="auto"/>
          <w:sz w:val="32"/>
          <w:szCs w:val="32"/>
          <w:vertAlign w:val="baseline"/>
          <w:lang w:val="en-US" w:eastAsia="zh-CN"/>
        </w:rPr>
        <w:t>电力与热力受入送出蕴含的间接碳排放是园区碳排放的重要部分。按照园区电力与热力净受入量核算园区间接碳排放量，即：</w:t>
      </w:r>
    </w:p>
    <w:p w14:paraId="113C326E">
      <w:p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E</w:t>
      </w:r>
      <w:r>
        <w:rPr>
          <w:rFonts w:hint="default" w:ascii="Times New Roman" w:hAnsi="Times New Roman" w:eastAsia="仿宋" w:cs="Times New Roman"/>
          <w:color w:val="auto"/>
          <w:sz w:val="32"/>
          <w:szCs w:val="32"/>
          <w:vertAlign w:val="subscript"/>
          <w:lang w:val="en-US" w:eastAsia="zh-CN"/>
        </w:rPr>
        <w:t>间接排放</w:t>
      </w:r>
      <w:r>
        <w:rPr>
          <w:rFonts w:hint="default" w:ascii="Times New Roman" w:hAnsi="Times New Roman" w:eastAsia="仿宋" w:cs="Times New Roman"/>
          <w:color w:val="auto"/>
          <w:sz w:val="32"/>
          <w:szCs w:val="32"/>
          <w:vertAlign w:val="baseline"/>
          <w:lang w:val="en-US" w:eastAsia="zh-CN"/>
        </w:rPr>
        <w:t>=E</w:t>
      </w:r>
      <w:r>
        <w:rPr>
          <w:rFonts w:hint="default" w:ascii="Times New Roman" w:hAnsi="Times New Roman" w:eastAsia="仿宋" w:cs="Times New Roman"/>
          <w:color w:val="auto"/>
          <w:sz w:val="32"/>
          <w:szCs w:val="32"/>
          <w:vertAlign w:val="subscript"/>
          <w:lang w:val="en-US" w:eastAsia="zh-CN"/>
        </w:rPr>
        <w:t>电</w:t>
      </w:r>
      <w:r>
        <w:rPr>
          <w:rFonts w:hint="default" w:ascii="Times New Roman" w:hAnsi="Times New Roman" w:eastAsia="仿宋" w:cs="Times New Roman"/>
          <w:color w:val="auto"/>
          <w:sz w:val="32"/>
          <w:szCs w:val="32"/>
          <w:vertAlign w:val="baseline"/>
          <w:lang w:val="en-US" w:eastAsia="zh-CN"/>
        </w:rPr>
        <w:t>+E</w:t>
      </w:r>
      <w:r>
        <w:rPr>
          <w:rFonts w:hint="default" w:ascii="Times New Roman" w:hAnsi="Times New Roman" w:eastAsia="仿宋" w:cs="Times New Roman"/>
          <w:color w:val="auto"/>
          <w:sz w:val="32"/>
          <w:szCs w:val="32"/>
          <w:vertAlign w:val="subscript"/>
          <w:lang w:val="en-US" w:eastAsia="zh-CN"/>
        </w:rPr>
        <w:t>热</w:t>
      </w:r>
    </w:p>
    <w:p w14:paraId="7E714853">
      <w:p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式中：</w:t>
      </w:r>
    </w:p>
    <w:p w14:paraId="438380DE">
      <w:pPr>
        <w:numPr>
          <w:ilvl w:val="0"/>
          <w:numId w:val="0"/>
        </w:num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E</w:t>
      </w:r>
      <w:r>
        <w:rPr>
          <w:rFonts w:hint="default" w:ascii="Times New Roman" w:hAnsi="Times New Roman" w:eastAsia="仿宋" w:cs="Times New Roman"/>
          <w:color w:val="auto"/>
          <w:sz w:val="32"/>
          <w:szCs w:val="32"/>
          <w:vertAlign w:val="subscript"/>
          <w:lang w:val="en-US" w:eastAsia="zh-CN"/>
        </w:rPr>
        <w:t>电</w:t>
      </w:r>
      <w:r>
        <w:rPr>
          <w:rFonts w:hint="default" w:ascii="Times New Roman" w:hAnsi="Times New Roman" w:eastAsia="仿宋" w:cs="Times New Roman"/>
          <w:color w:val="auto"/>
          <w:sz w:val="32"/>
          <w:szCs w:val="32"/>
          <w:vertAlign w:val="baseline"/>
          <w:lang w:val="en-US" w:eastAsia="zh-CN"/>
        </w:rPr>
        <w:t>为园区电力净受入蕴含的间接排放（万吨），即电力受入量蕴含的间接排放与电力送出量蕴含的间接排放的差值；</w:t>
      </w:r>
    </w:p>
    <w:p w14:paraId="1516DBA0">
      <w:pPr>
        <w:numPr>
          <w:ilvl w:val="0"/>
          <w:numId w:val="0"/>
        </w:num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E</w:t>
      </w:r>
      <w:r>
        <w:rPr>
          <w:rFonts w:hint="default" w:ascii="Times New Roman" w:hAnsi="Times New Roman" w:eastAsia="仿宋" w:cs="Times New Roman"/>
          <w:color w:val="auto"/>
          <w:sz w:val="32"/>
          <w:szCs w:val="32"/>
          <w:vertAlign w:val="subscript"/>
          <w:lang w:val="en-US" w:eastAsia="zh-CN"/>
        </w:rPr>
        <w:t>热</w:t>
      </w:r>
      <w:r>
        <w:rPr>
          <w:rFonts w:hint="default" w:ascii="Times New Roman" w:hAnsi="Times New Roman" w:eastAsia="仿宋" w:cs="Times New Roman"/>
          <w:color w:val="auto"/>
          <w:sz w:val="32"/>
          <w:szCs w:val="32"/>
          <w:vertAlign w:val="baseline"/>
          <w:lang w:val="en-US" w:eastAsia="zh-CN"/>
        </w:rPr>
        <w:t>为园区热力净受入蕴含的间接排放（万吨），即热力受入量蕴含的间接排放与热力送出量蕴含的间接排放的差值。</w:t>
      </w:r>
    </w:p>
    <w:p w14:paraId="45976D6E">
      <w:pPr>
        <w:numPr>
          <w:ilvl w:val="0"/>
          <w:numId w:val="0"/>
        </w:num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①电力方面，园区受入送出的电力包括来自公共电网的电力、直接供应的非化石能源电力、绿证绿电交易获取的可再生能源电力等。将不同种类的电力受入送出量乘以相应的电力排放因子后进行加总，计算得出园区外购电力的碳排放，即：</w:t>
      </w:r>
    </w:p>
    <w:p w14:paraId="31111E4F">
      <w:pPr>
        <w:spacing w:line="560" w:lineRule="exac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E</w:t>
      </w:r>
      <w:r>
        <w:rPr>
          <w:rFonts w:hint="default" w:ascii="Times New Roman" w:hAnsi="Times New Roman" w:eastAsia="仿宋" w:cs="Times New Roman"/>
          <w:color w:val="auto"/>
          <w:sz w:val="32"/>
          <w:szCs w:val="32"/>
          <w:vertAlign w:val="subscript"/>
          <w:lang w:val="en-US" w:eastAsia="zh-CN"/>
        </w:rPr>
        <w:t>电</w:t>
      </w:r>
      <w:r>
        <w:rPr>
          <w:rFonts w:hint="default" w:ascii="Times New Roman" w:hAnsi="Times New Roman" w:eastAsia="仿宋" w:cs="Times New Roman"/>
          <w:color w:val="auto"/>
          <w:sz w:val="32"/>
          <w:szCs w:val="32"/>
          <w:lang w:val="en-US" w:eastAsia="zh-CN"/>
        </w:rPr>
        <w:t>=∑（El</w:t>
      </w:r>
      <w:r>
        <w:rPr>
          <w:rFonts w:hint="default" w:ascii="Times New Roman" w:hAnsi="Times New Roman" w:eastAsia="仿宋" w:cs="Times New Roman"/>
          <w:color w:val="auto"/>
          <w:sz w:val="32"/>
          <w:szCs w:val="32"/>
          <w:vertAlign w:val="subscript"/>
          <w:lang w:val="en-US" w:eastAsia="zh-CN"/>
        </w:rPr>
        <w:t>受入i</w:t>
      </w:r>
      <w:r>
        <w:rPr>
          <w:rFonts w:hint="default" w:ascii="Times New Roman" w:hAnsi="Times New Roman" w:eastAsia="仿宋" w:cs="Times New Roman"/>
          <w:color w:val="auto"/>
          <w:sz w:val="32"/>
          <w:szCs w:val="32"/>
          <w:lang w:val="en-US" w:eastAsia="zh-CN"/>
        </w:rPr>
        <w:t>×Ef</w:t>
      </w:r>
      <w:r>
        <w:rPr>
          <w:rFonts w:hint="default" w:ascii="Times New Roman" w:hAnsi="Times New Roman" w:eastAsia="仿宋" w:cs="Times New Roman"/>
          <w:color w:val="auto"/>
          <w:sz w:val="32"/>
          <w:szCs w:val="32"/>
          <w:vertAlign w:val="subscript"/>
          <w:lang w:val="en-US" w:eastAsia="zh-CN"/>
        </w:rPr>
        <w:t>i</w:t>
      </w:r>
      <w:r>
        <w:rPr>
          <w:rFonts w:hint="default" w:ascii="Times New Roman" w:hAnsi="Times New Roman" w:eastAsia="仿宋" w:cs="Times New Roman"/>
          <w:color w:val="auto"/>
          <w:sz w:val="32"/>
          <w:szCs w:val="32"/>
          <w:lang w:val="en-US" w:eastAsia="zh-CN"/>
        </w:rPr>
        <w:t>）-∑（El</w:t>
      </w:r>
      <w:r>
        <w:rPr>
          <w:rFonts w:hint="default" w:ascii="Times New Roman" w:hAnsi="Times New Roman" w:eastAsia="仿宋" w:cs="Times New Roman"/>
          <w:color w:val="auto"/>
          <w:sz w:val="32"/>
          <w:szCs w:val="32"/>
          <w:vertAlign w:val="subscript"/>
          <w:lang w:val="en-US" w:eastAsia="zh-CN"/>
        </w:rPr>
        <w:t>送出i</w:t>
      </w:r>
      <w:r>
        <w:rPr>
          <w:rFonts w:hint="default" w:ascii="Times New Roman" w:hAnsi="Times New Roman" w:eastAsia="仿宋" w:cs="Times New Roman"/>
          <w:color w:val="auto"/>
          <w:sz w:val="32"/>
          <w:szCs w:val="32"/>
          <w:lang w:val="en-US" w:eastAsia="zh-CN"/>
        </w:rPr>
        <w:t>×Ef</w:t>
      </w:r>
      <w:r>
        <w:rPr>
          <w:rFonts w:hint="default" w:ascii="Times New Roman" w:hAnsi="Times New Roman" w:eastAsia="仿宋" w:cs="Times New Roman"/>
          <w:color w:val="auto"/>
          <w:sz w:val="32"/>
          <w:szCs w:val="32"/>
          <w:vertAlign w:val="subscript"/>
          <w:lang w:val="en-US" w:eastAsia="zh-CN"/>
        </w:rPr>
        <w:t>i</w:t>
      </w:r>
      <w:r>
        <w:rPr>
          <w:rFonts w:hint="default" w:ascii="Times New Roman" w:hAnsi="Times New Roman" w:eastAsia="仿宋" w:cs="Times New Roman"/>
          <w:color w:val="auto"/>
          <w:sz w:val="32"/>
          <w:szCs w:val="32"/>
          <w:lang w:val="en-US" w:eastAsia="zh-CN"/>
        </w:rPr>
        <w:t>）</w:t>
      </w:r>
    </w:p>
    <w:p w14:paraId="254407AB">
      <w:pPr>
        <w:spacing w:line="560" w:lineRule="exac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式中：</w:t>
      </w:r>
    </w:p>
    <w:p w14:paraId="78978D9D">
      <w:pPr>
        <w:numPr>
          <w:ilvl w:val="0"/>
          <w:numId w:val="0"/>
        </w:num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lang w:val="en-US" w:eastAsia="zh-CN"/>
        </w:rPr>
        <w:t>El</w:t>
      </w:r>
      <w:r>
        <w:rPr>
          <w:rFonts w:hint="default" w:ascii="Times New Roman" w:hAnsi="Times New Roman" w:eastAsia="仿宋" w:cs="Times New Roman"/>
          <w:color w:val="auto"/>
          <w:sz w:val="32"/>
          <w:szCs w:val="32"/>
          <w:vertAlign w:val="subscript"/>
          <w:lang w:val="en-US" w:eastAsia="zh-CN"/>
        </w:rPr>
        <w:t>受入i</w:t>
      </w:r>
      <w:r>
        <w:rPr>
          <w:rFonts w:hint="default" w:ascii="Times New Roman" w:hAnsi="Times New Roman" w:eastAsia="仿宋" w:cs="Times New Roman"/>
          <w:color w:val="auto"/>
          <w:sz w:val="32"/>
          <w:szCs w:val="32"/>
          <w:vertAlign w:val="baseline"/>
          <w:lang w:val="en-US" w:eastAsia="zh-CN"/>
        </w:rPr>
        <w:t>、</w:t>
      </w:r>
      <w:r>
        <w:rPr>
          <w:rFonts w:hint="default" w:ascii="Times New Roman" w:hAnsi="Times New Roman" w:eastAsia="仿宋" w:cs="Times New Roman"/>
          <w:color w:val="auto"/>
          <w:sz w:val="32"/>
          <w:szCs w:val="32"/>
          <w:lang w:val="en-US" w:eastAsia="zh-CN"/>
        </w:rPr>
        <w:t>El</w:t>
      </w:r>
      <w:r>
        <w:rPr>
          <w:rFonts w:hint="default" w:ascii="Times New Roman" w:hAnsi="Times New Roman" w:eastAsia="仿宋" w:cs="Times New Roman"/>
          <w:color w:val="auto"/>
          <w:sz w:val="32"/>
          <w:szCs w:val="32"/>
          <w:vertAlign w:val="subscript"/>
          <w:lang w:val="en-US" w:eastAsia="zh-CN"/>
        </w:rPr>
        <w:t>送出i</w:t>
      </w:r>
      <w:r>
        <w:rPr>
          <w:rFonts w:hint="default" w:ascii="Times New Roman" w:hAnsi="Times New Roman" w:eastAsia="仿宋" w:cs="Times New Roman"/>
          <w:color w:val="auto"/>
          <w:sz w:val="32"/>
          <w:szCs w:val="32"/>
          <w:vertAlign w:val="baseline"/>
          <w:lang w:val="en-US" w:eastAsia="zh-CN"/>
        </w:rPr>
        <w:t>为园区受入送出的电力；</w:t>
      </w:r>
    </w:p>
    <w:p w14:paraId="5FD4A62A">
      <w:pPr>
        <w:numPr>
          <w:ilvl w:val="0"/>
          <w:numId w:val="0"/>
        </w:num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Ef</w:t>
      </w:r>
      <w:r>
        <w:rPr>
          <w:rFonts w:hint="default" w:ascii="Times New Roman" w:hAnsi="Times New Roman" w:eastAsia="仿宋" w:cs="Times New Roman"/>
          <w:color w:val="auto"/>
          <w:sz w:val="32"/>
          <w:szCs w:val="32"/>
          <w:vertAlign w:val="subscript"/>
          <w:lang w:val="en-US" w:eastAsia="zh-CN"/>
        </w:rPr>
        <w:t>i</w:t>
      </w:r>
      <w:r>
        <w:rPr>
          <w:rFonts w:hint="default" w:ascii="Times New Roman" w:hAnsi="Times New Roman" w:eastAsia="仿宋" w:cs="Times New Roman"/>
          <w:color w:val="auto"/>
          <w:sz w:val="32"/>
          <w:szCs w:val="32"/>
          <w:vertAlign w:val="baseline"/>
          <w:lang w:val="en-US" w:eastAsia="zh-CN"/>
        </w:rPr>
        <w:t>为电力种类对应的电力排放因子。对于电力直供的非化石能源电力、绿证绿电交易获取的可再生能源电力，电力排放因子计为0；对于公共电网的电力，</w:t>
      </w:r>
      <w:r>
        <w:rPr>
          <w:rFonts w:hint="default" w:ascii="Times New Roman" w:hAnsi="Times New Roman" w:eastAsia="仿宋" w:cs="Times New Roman"/>
          <w:color w:val="auto"/>
          <w:sz w:val="32"/>
          <w:szCs w:val="32"/>
          <w:lang w:val="en-US" w:eastAsia="zh-CN"/>
        </w:rPr>
        <w:t>扣除国家发布的最新年份《全国</w:t>
      </w:r>
      <w:r>
        <w:rPr>
          <w:rFonts w:hint="default" w:ascii="Times New Roman" w:hAnsi="Times New Roman" w:eastAsia="仿宋" w:cs="Times New Roman"/>
          <w:color w:val="auto"/>
          <w:sz w:val="32"/>
          <w:szCs w:val="32"/>
        </w:rPr>
        <w:t>可再生能源电力</w:t>
      </w:r>
      <w:r>
        <w:rPr>
          <w:rFonts w:hint="default" w:ascii="Times New Roman" w:hAnsi="Times New Roman" w:eastAsia="仿宋" w:cs="Times New Roman"/>
          <w:color w:val="auto"/>
          <w:sz w:val="32"/>
          <w:szCs w:val="32"/>
          <w:lang w:val="en-US" w:eastAsia="zh-CN"/>
        </w:rPr>
        <w:t>发展监测评价报告》中的湖南省</w:t>
      </w:r>
      <w:r>
        <w:rPr>
          <w:rFonts w:hint="default" w:ascii="Times New Roman" w:hAnsi="Times New Roman" w:eastAsia="仿宋" w:cs="Times New Roman"/>
          <w:i w:val="0"/>
          <w:iCs w:val="0"/>
          <w:caps w:val="0"/>
          <w:color w:val="auto"/>
          <w:spacing w:val="0"/>
          <w:sz w:val="32"/>
          <w:szCs w:val="32"/>
        </w:rPr>
        <w:t>可再生能源电力总量消纳责任权重</w:t>
      </w:r>
      <w:r>
        <w:rPr>
          <w:rFonts w:hint="default" w:ascii="Times New Roman" w:hAnsi="Times New Roman" w:eastAsia="仿宋" w:cs="Times New Roman"/>
          <w:i w:val="0"/>
          <w:iCs w:val="0"/>
          <w:caps w:val="0"/>
          <w:color w:val="auto"/>
          <w:spacing w:val="0"/>
          <w:sz w:val="32"/>
          <w:szCs w:val="32"/>
          <w:lang w:val="en-US" w:eastAsia="zh-CN"/>
        </w:rPr>
        <w:t>后（202</w:t>
      </w:r>
      <w:r>
        <w:rPr>
          <w:rFonts w:hint="default" w:eastAsia="仿宋" w:cs="Times New Roman"/>
          <w:i w:val="0"/>
          <w:iCs w:val="0"/>
          <w:caps w:val="0"/>
          <w:color w:val="auto"/>
          <w:spacing w:val="0"/>
          <w:sz w:val="32"/>
          <w:szCs w:val="32"/>
          <w:lang w:val="en-US" w:eastAsia="zh-CN"/>
        </w:rPr>
        <w:t>4</w:t>
      </w:r>
      <w:r>
        <w:rPr>
          <w:rFonts w:hint="default" w:ascii="Times New Roman" w:hAnsi="Times New Roman" w:eastAsia="仿宋" w:cs="Times New Roman"/>
          <w:i w:val="0"/>
          <w:iCs w:val="0"/>
          <w:caps w:val="0"/>
          <w:color w:val="auto"/>
          <w:spacing w:val="0"/>
          <w:sz w:val="32"/>
          <w:szCs w:val="32"/>
          <w:lang w:val="en-US" w:eastAsia="zh-CN"/>
        </w:rPr>
        <w:t>年度实际完成</w:t>
      </w:r>
      <w:r>
        <w:rPr>
          <w:rFonts w:hint="default" w:eastAsia="仿宋" w:cs="Times New Roman"/>
          <w:i w:val="0"/>
          <w:iCs w:val="0"/>
          <w:caps w:val="0"/>
          <w:color w:val="auto"/>
          <w:spacing w:val="0"/>
          <w:sz w:val="32"/>
          <w:szCs w:val="32"/>
          <w:lang w:val="en-US" w:eastAsia="zh-CN"/>
        </w:rPr>
        <w:t>52.1</w:t>
      </w:r>
      <w:r>
        <w:rPr>
          <w:rFonts w:hint="default" w:ascii="Times New Roman" w:hAnsi="Times New Roman" w:eastAsia="仿宋" w:cs="Times New Roman"/>
          <w:i w:val="0"/>
          <w:iCs w:val="0"/>
          <w:caps w:val="0"/>
          <w:color w:val="auto"/>
          <w:spacing w:val="0"/>
          <w:sz w:val="32"/>
          <w:szCs w:val="32"/>
          <w:lang w:val="en-US" w:eastAsia="zh-CN"/>
        </w:rPr>
        <w:t>%），剩下的为化石能源电力</w:t>
      </w:r>
      <w:r>
        <w:rPr>
          <w:rFonts w:hint="default" w:eastAsia="仿宋" w:cs="Times New Roman"/>
          <w:i w:val="0"/>
          <w:iCs w:val="0"/>
          <w:caps w:val="0"/>
          <w:color w:val="auto"/>
          <w:spacing w:val="0"/>
          <w:sz w:val="32"/>
          <w:szCs w:val="32"/>
          <w:lang w:val="en-US" w:eastAsia="zh-CN"/>
        </w:rPr>
        <w:t>，</w:t>
      </w:r>
      <w:r>
        <w:rPr>
          <w:rFonts w:hint="default" w:ascii="Times New Roman" w:hAnsi="Times New Roman" w:eastAsia="仿宋" w:cs="Times New Roman"/>
          <w:color w:val="auto"/>
          <w:sz w:val="32"/>
          <w:szCs w:val="32"/>
          <w:vertAlign w:val="baseline"/>
          <w:lang w:val="en-US" w:eastAsia="zh-CN"/>
        </w:rPr>
        <w:t>排放因子</w:t>
      </w:r>
      <w:r>
        <w:rPr>
          <w:rFonts w:hint="default" w:eastAsia="仿宋" w:cs="Times New Roman"/>
          <w:color w:val="auto"/>
          <w:sz w:val="32"/>
          <w:szCs w:val="32"/>
          <w:vertAlign w:val="baseline"/>
          <w:lang w:val="en-US" w:eastAsia="zh-CN"/>
        </w:rPr>
        <w:t>采用生态环境部发布的最新年份</w:t>
      </w:r>
      <w:r>
        <w:rPr>
          <w:rFonts w:hint="default" w:ascii="Times New Roman" w:hAnsi="Times New Roman" w:eastAsia="仿宋" w:cs="Times New Roman"/>
          <w:color w:val="auto"/>
          <w:sz w:val="32"/>
          <w:szCs w:val="32"/>
          <w:vertAlign w:val="baseline"/>
          <w:lang w:val="en-US" w:eastAsia="zh-CN"/>
        </w:rPr>
        <w:t>全国化石能源电力排放因子（202</w:t>
      </w:r>
      <w:r>
        <w:rPr>
          <w:rFonts w:hint="eastAsia" w:eastAsia="仿宋" w:cs="Times New Roman"/>
          <w:color w:val="auto"/>
          <w:sz w:val="32"/>
          <w:szCs w:val="32"/>
          <w:vertAlign w:val="baseline"/>
          <w:lang w:val="en-US" w:eastAsia="zh-CN"/>
        </w:rPr>
        <w:t>3</w:t>
      </w:r>
      <w:r>
        <w:rPr>
          <w:rFonts w:hint="default" w:ascii="Times New Roman" w:hAnsi="Times New Roman" w:eastAsia="仿宋" w:cs="Times New Roman"/>
          <w:color w:val="auto"/>
          <w:sz w:val="32"/>
          <w:szCs w:val="32"/>
          <w:vertAlign w:val="baseline"/>
          <w:lang w:val="en-US" w:eastAsia="zh-CN"/>
        </w:rPr>
        <w:t>年度为0.8</w:t>
      </w:r>
      <w:r>
        <w:rPr>
          <w:rFonts w:hint="eastAsia" w:eastAsia="仿宋" w:cs="Times New Roman"/>
          <w:color w:val="auto"/>
          <w:sz w:val="32"/>
          <w:szCs w:val="32"/>
          <w:vertAlign w:val="baseline"/>
          <w:lang w:val="en-US" w:eastAsia="zh-CN"/>
        </w:rPr>
        <w:t>273</w:t>
      </w:r>
      <w:r>
        <w:rPr>
          <w:rFonts w:hint="default" w:ascii="Times New Roman" w:hAnsi="Times New Roman" w:eastAsia="仿宋" w:cs="Times New Roman"/>
          <w:color w:val="auto"/>
          <w:sz w:val="32"/>
          <w:szCs w:val="32"/>
          <w:vertAlign w:val="baseline"/>
          <w:lang w:val="en-US" w:eastAsia="zh-CN"/>
        </w:rPr>
        <w:t>kgCO₂/kWh），后续如有更新，采用最新数据。</w:t>
      </w:r>
    </w:p>
    <w:p w14:paraId="0ED90796">
      <w:pPr>
        <w:numPr>
          <w:ilvl w:val="0"/>
          <w:numId w:val="0"/>
        </w:num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②热力方面，园区受入送出热力在生产过程中产生的碳排放，通过将受入热量乘以热力排放因子与送出热量乘以热力排放因子的差值来计算得出，即：</w:t>
      </w:r>
    </w:p>
    <w:p w14:paraId="6D05185E">
      <w:pPr>
        <w:numPr>
          <w:ilvl w:val="0"/>
          <w:numId w:val="0"/>
        </w:numPr>
        <w:spacing w:line="560" w:lineRule="exac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E</w:t>
      </w:r>
      <w:r>
        <w:rPr>
          <w:rFonts w:hint="default" w:ascii="Times New Roman" w:hAnsi="Times New Roman" w:eastAsia="仿宋" w:cs="Times New Roman"/>
          <w:color w:val="auto"/>
          <w:sz w:val="32"/>
          <w:szCs w:val="32"/>
          <w:vertAlign w:val="subscript"/>
          <w:lang w:val="en-US" w:eastAsia="zh-CN"/>
        </w:rPr>
        <w:t>热</w:t>
      </w:r>
      <w:r>
        <w:rPr>
          <w:rFonts w:hint="default" w:ascii="Times New Roman" w:hAnsi="Times New Roman" w:eastAsia="仿宋" w:cs="Times New Roman"/>
          <w:color w:val="auto"/>
          <w:sz w:val="32"/>
          <w:szCs w:val="32"/>
          <w:lang w:val="en-US" w:eastAsia="zh-CN"/>
        </w:rPr>
        <w:t>=∑（Hl</w:t>
      </w:r>
      <w:r>
        <w:rPr>
          <w:rFonts w:hint="default" w:ascii="Times New Roman" w:hAnsi="Times New Roman" w:eastAsia="仿宋" w:cs="Times New Roman"/>
          <w:color w:val="auto"/>
          <w:sz w:val="32"/>
          <w:szCs w:val="32"/>
          <w:vertAlign w:val="subscript"/>
          <w:lang w:val="en-US" w:eastAsia="zh-CN"/>
        </w:rPr>
        <w:t>受入i</w:t>
      </w:r>
      <w:r>
        <w:rPr>
          <w:rFonts w:hint="default" w:ascii="Times New Roman" w:hAnsi="Times New Roman" w:eastAsia="仿宋" w:cs="Times New Roman"/>
          <w:color w:val="auto"/>
          <w:sz w:val="32"/>
          <w:szCs w:val="32"/>
          <w:lang w:val="en-US" w:eastAsia="zh-CN"/>
        </w:rPr>
        <w:t>×Hf</w:t>
      </w:r>
      <w:r>
        <w:rPr>
          <w:rFonts w:hint="default" w:ascii="Times New Roman" w:hAnsi="Times New Roman" w:eastAsia="仿宋" w:cs="Times New Roman"/>
          <w:color w:val="auto"/>
          <w:sz w:val="32"/>
          <w:szCs w:val="32"/>
          <w:vertAlign w:val="subscript"/>
          <w:lang w:val="en-US" w:eastAsia="zh-CN"/>
        </w:rPr>
        <w:t>i</w:t>
      </w:r>
      <w:r>
        <w:rPr>
          <w:rFonts w:hint="default" w:ascii="Times New Roman" w:hAnsi="Times New Roman" w:eastAsia="仿宋" w:cs="Times New Roman"/>
          <w:color w:val="auto"/>
          <w:sz w:val="32"/>
          <w:szCs w:val="32"/>
          <w:lang w:val="en-US" w:eastAsia="zh-CN"/>
        </w:rPr>
        <w:t>）-∑（Hl</w:t>
      </w:r>
      <w:r>
        <w:rPr>
          <w:rFonts w:hint="default" w:ascii="Times New Roman" w:hAnsi="Times New Roman" w:eastAsia="仿宋" w:cs="Times New Roman"/>
          <w:color w:val="auto"/>
          <w:sz w:val="32"/>
          <w:szCs w:val="32"/>
          <w:vertAlign w:val="subscript"/>
          <w:lang w:val="en-US" w:eastAsia="zh-CN"/>
        </w:rPr>
        <w:t>送出i</w:t>
      </w:r>
      <w:r>
        <w:rPr>
          <w:rFonts w:hint="default" w:ascii="Times New Roman" w:hAnsi="Times New Roman" w:eastAsia="仿宋" w:cs="Times New Roman"/>
          <w:color w:val="auto"/>
          <w:sz w:val="32"/>
          <w:szCs w:val="32"/>
          <w:lang w:val="en-US" w:eastAsia="zh-CN"/>
        </w:rPr>
        <w:t>×Hf</w:t>
      </w:r>
      <w:r>
        <w:rPr>
          <w:rFonts w:hint="default" w:ascii="Times New Roman" w:hAnsi="Times New Roman" w:eastAsia="仿宋" w:cs="Times New Roman"/>
          <w:color w:val="auto"/>
          <w:sz w:val="32"/>
          <w:szCs w:val="32"/>
          <w:vertAlign w:val="subscript"/>
          <w:lang w:val="en-US" w:eastAsia="zh-CN"/>
        </w:rPr>
        <w:t>i</w:t>
      </w:r>
      <w:r>
        <w:rPr>
          <w:rFonts w:hint="default" w:ascii="Times New Roman" w:hAnsi="Times New Roman" w:eastAsia="仿宋" w:cs="Times New Roman"/>
          <w:color w:val="auto"/>
          <w:sz w:val="32"/>
          <w:szCs w:val="32"/>
          <w:lang w:val="en-US" w:eastAsia="zh-CN"/>
        </w:rPr>
        <w:t>）</w:t>
      </w:r>
    </w:p>
    <w:p w14:paraId="5914BDFA">
      <w:pPr>
        <w:numPr>
          <w:ilvl w:val="0"/>
          <w:numId w:val="0"/>
        </w:numPr>
        <w:spacing w:line="560" w:lineRule="exac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式中：</w:t>
      </w:r>
    </w:p>
    <w:p w14:paraId="6F064700">
      <w:pPr>
        <w:numPr>
          <w:ilvl w:val="0"/>
          <w:numId w:val="0"/>
        </w:num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lang w:val="en-US" w:eastAsia="zh-CN"/>
        </w:rPr>
        <w:t>Hl</w:t>
      </w:r>
      <w:r>
        <w:rPr>
          <w:rFonts w:hint="default" w:ascii="Times New Roman" w:hAnsi="Times New Roman" w:eastAsia="仿宋" w:cs="Times New Roman"/>
          <w:color w:val="auto"/>
          <w:sz w:val="32"/>
          <w:szCs w:val="32"/>
          <w:vertAlign w:val="subscript"/>
          <w:lang w:val="en-US" w:eastAsia="zh-CN"/>
        </w:rPr>
        <w:t>受入i</w:t>
      </w:r>
      <w:r>
        <w:rPr>
          <w:rFonts w:hint="default" w:ascii="Times New Roman" w:hAnsi="Times New Roman" w:eastAsia="仿宋" w:cs="Times New Roman"/>
          <w:color w:val="auto"/>
          <w:sz w:val="32"/>
          <w:szCs w:val="32"/>
          <w:vertAlign w:val="baseline"/>
          <w:lang w:val="en-US" w:eastAsia="zh-CN"/>
        </w:rPr>
        <w:t>、</w:t>
      </w:r>
      <w:r>
        <w:rPr>
          <w:rFonts w:hint="default" w:ascii="Times New Roman" w:hAnsi="Times New Roman" w:eastAsia="仿宋" w:cs="Times New Roman"/>
          <w:color w:val="auto"/>
          <w:sz w:val="32"/>
          <w:szCs w:val="32"/>
          <w:lang w:val="en-US" w:eastAsia="zh-CN"/>
        </w:rPr>
        <w:t>Hl</w:t>
      </w:r>
      <w:r>
        <w:rPr>
          <w:rFonts w:hint="default" w:ascii="Times New Roman" w:hAnsi="Times New Roman" w:eastAsia="仿宋" w:cs="Times New Roman"/>
          <w:color w:val="auto"/>
          <w:sz w:val="32"/>
          <w:szCs w:val="32"/>
          <w:vertAlign w:val="subscript"/>
          <w:lang w:val="en-US" w:eastAsia="zh-CN"/>
        </w:rPr>
        <w:t>送出i</w:t>
      </w:r>
      <w:r>
        <w:rPr>
          <w:rFonts w:hint="default" w:ascii="Times New Roman" w:hAnsi="Times New Roman" w:eastAsia="仿宋" w:cs="Times New Roman"/>
          <w:color w:val="auto"/>
          <w:sz w:val="32"/>
          <w:szCs w:val="32"/>
          <w:vertAlign w:val="baseline"/>
          <w:lang w:val="en-US" w:eastAsia="zh-CN"/>
        </w:rPr>
        <w:t>为园区受入送出的热力；</w:t>
      </w:r>
    </w:p>
    <w:p w14:paraId="0F6CB53A">
      <w:pPr>
        <w:spacing w:line="560" w:lineRule="exact"/>
        <w:ind w:firstLine="640" w:firstLineChars="200"/>
        <w:jc w:val="both"/>
        <w:rPr>
          <w:rFonts w:hint="default" w:ascii="Times New Roman" w:hAnsi="Times New Roman" w:eastAsia="仿宋" w:cs="Times New Roman"/>
          <w:color w:val="auto"/>
          <w:sz w:val="32"/>
          <w:szCs w:val="32"/>
          <w:vertAlign w:val="baseline"/>
          <w:lang w:val="en-US" w:eastAsia="zh-CN"/>
        </w:rPr>
      </w:pPr>
      <w:r>
        <w:rPr>
          <w:rFonts w:hint="default" w:ascii="Times New Roman" w:hAnsi="Times New Roman" w:eastAsia="仿宋" w:cs="Times New Roman"/>
          <w:color w:val="auto"/>
          <w:sz w:val="32"/>
          <w:szCs w:val="32"/>
          <w:vertAlign w:val="baseline"/>
          <w:lang w:val="en-US" w:eastAsia="zh-CN"/>
        </w:rPr>
        <w:t>Hf</w:t>
      </w:r>
      <w:r>
        <w:rPr>
          <w:rFonts w:hint="default" w:ascii="Times New Roman" w:hAnsi="Times New Roman" w:eastAsia="仿宋" w:cs="Times New Roman"/>
          <w:color w:val="auto"/>
          <w:sz w:val="32"/>
          <w:szCs w:val="32"/>
          <w:vertAlign w:val="subscript"/>
          <w:lang w:val="en-US" w:eastAsia="zh-CN"/>
        </w:rPr>
        <w:t>i</w:t>
      </w:r>
      <w:r>
        <w:rPr>
          <w:rFonts w:hint="default" w:ascii="Times New Roman" w:hAnsi="Times New Roman" w:eastAsia="仿宋" w:cs="Times New Roman"/>
          <w:color w:val="auto"/>
          <w:sz w:val="32"/>
          <w:szCs w:val="32"/>
          <w:vertAlign w:val="baseline"/>
          <w:lang w:val="en-US" w:eastAsia="zh-CN"/>
        </w:rPr>
        <w:t>为热力种类对应的热力排放因子。若园区受入送出的热力为化石能源热力，则该部分热力排放因子优先采用实测值，若无实测值则采用热力碳排放因子缺省值（0.11tCO₂/GJ）；若园区受入送出的热力为非化石能源热力，则该部分热力排放因子计为0。</w:t>
      </w:r>
    </w:p>
    <w:p w14:paraId="5CE27FC6">
      <w:pPr>
        <w:spacing w:line="560" w:lineRule="exact"/>
        <w:ind w:firstLine="640" w:firstLineChars="200"/>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三、工业生产过程排放</w:t>
      </w:r>
    </w:p>
    <w:p w14:paraId="7AB06740">
      <w:pPr>
        <w:spacing w:line="560" w:lineRule="exact"/>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一</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核算范围。</w:t>
      </w:r>
      <w:r>
        <w:rPr>
          <w:rFonts w:hint="default" w:ascii="Times New Roman" w:hAnsi="Times New Roman" w:eastAsia="仿宋" w:cs="Times New Roman"/>
          <w:color w:val="auto"/>
          <w:sz w:val="32"/>
          <w:szCs w:val="32"/>
        </w:rPr>
        <w:t>园区工业生产过程碳排放核算范围包括但不限于水泥熟料、石灰、合成氨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无水氨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、甲醇、粗钢、铁合金、工业硅、碳化钙</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电石</w:t>
      </w:r>
      <w:r>
        <w:rPr>
          <w:rFonts w:hint="default" w:ascii="Times New Roman" w:hAnsi="Times New Roman" w:eastAsia="仿宋" w:cs="Times New Roman"/>
          <w:color w:val="auto"/>
          <w:sz w:val="32"/>
          <w:szCs w:val="32"/>
          <w:lang w:eastAsia="zh-CN"/>
        </w:rPr>
        <w:t>）</w:t>
      </w:r>
      <w:r>
        <w:rPr>
          <w:rFonts w:hint="default" w:eastAsia="仿宋" w:cs="Times New Roman"/>
          <w:color w:val="auto"/>
          <w:sz w:val="32"/>
          <w:szCs w:val="32"/>
          <w:lang w:eastAsia="zh-CN"/>
        </w:rPr>
        <w:t>、平板</w:t>
      </w:r>
      <w:r>
        <w:rPr>
          <w:rFonts w:hint="default" w:eastAsia="仿宋" w:cs="Times New Roman"/>
          <w:color w:val="auto"/>
          <w:sz w:val="32"/>
          <w:szCs w:val="32"/>
          <w:lang w:val="en-US" w:eastAsia="zh-CN"/>
        </w:rPr>
        <w:t>玻璃、纯碱</w:t>
      </w:r>
      <w:r>
        <w:rPr>
          <w:rFonts w:hint="default" w:ascii="Times New Roman" w:hAnsi="Times New Roman" w:eastAsia="仿宋" w:cs="Times New Roman"/>
          <w:color w:val="auto"/>
          <w:sz w:val="32"/>
          <w:szCs w:val="32"/>
        </w:rPr>
        <w:t>等工业产品生产过程产生的碳排放。</w:t>
      </w:r>
    </w:p>
    <w:p w14:paraId="79A3A548">
      <w:pPr>
        <w:spacing w:line="560" w:lineRule="exact"/>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水泥熟料按成分分为：硅酸盐水泥熟料、白色硅酸盐水泥熟料、硫</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铁</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铝酸盐水泥熟料、铝酸盐水泥熟料。</w:t>
      </w:r>
    </w:p>
    <w:p w14:paraId="17A096BD">
      <w:pPr>
        <w:spacing w:line="560" w:lineRule="exact"/>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合成氨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无水氨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按技术路线分为：煤制合成氨、煤气制合成氨、天然气制合成氨、油制合成氨。</w:t>
      </w:r>
    </w:p>
    <w:p w14:paraId="375729FF">
      <w:pPr>
        <w:spacing w:line="560" w:lineRule="exact"/>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甲醇按技术路线分为：煤制甲醇、煤气制甲醇、天然气制甲醇。</w:t>
      </w:r>
    </w:p>
    <w:p w14:paraId="1E0B142D">
      <w:pPr>
        <w:spacing w:line="560" w:lineRule="exact"/>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铁合金按类别分为：硅铁合金、硅锰合金、锰铁合金、镍铁合金、铬铁合金。</w:t>
      </w:r>
    </w:p>
    <w:p w14:paraId="6F040335">
      <w:pPr>
        <w:spacing w:line="560" w:lineRule="exact"/>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对于以上未提及，但在园区内产量较大且碳排放影响较大的其他工业产品，也应</w:t>
      </w:r>
      <w:r>
        <w:rPr>
          <w:rFonts w:hint="default" w:ascii="Times New Roman" w:hAnsi="Times New Roman" w:eastAsia="仿宋" w:cs="Times New Roman"/>
          <w:color w:val="auto"/>
          <w:sz w:val="32"/>
          <w:szCs w:val="32"/>
          <w:lang w:val="en-US" w:eastAsia="zh-CN"/>
        </w:rPr>
        <w:t>根据相关部门发布的行业核算指南或标准</w:t>
      </w:r>
      <w:r>
        <w:rPr>
          <w:rFonts w:hint="default" w:ascii="Times New Roman" w:hAnsi="Times New Roman" w:eastAsia="仿宋" w:cs="Times New Roman"/>
          <w:color w:val="auto"/>
          <w:sz w:val="32"/>
          <w:szCs w:val="32"/>
        </w:rPr>
        <w:t>对其碳排放进行核算。</w:t>
      </w:r>
    </w:p>
    <w:p w14:paraId="6CE7B7A6">
      <w:pPr>
        <w:spacing w:line="560" w:lineRule="exact"/>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二</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核算方法。</w:t>
      </w:r>
      <w:r>
        <w:rPr>
          <w:rFonts w:hint="default" w:ascii="Times New Roman" w:hAnsi="Times New Roman" w:eastAsia="仿宋" w:cs="Times New Roman"/>
          <w:color w:val="auto"/>
          <w:sz w:val="32"/>
          <w:szCs w:val="32"/>
        </w:rPr>
        <w:t>工业生产过程碳排放核算方法基于产品产量和对应的排放因子，分别核算各产品生产过程产生的碳排放量，累加计算得到本园区工业过程碳排放总量。即：</w:t>
      </w:r>
    </w:p>
    <w:p w14:paraId="7A619EF6">
      <w:pPr>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E</w:t>
      </w:r>
      <w:r>
        <w:rPr>
          <w:rFonts w:hint="default" w:ascii="Times New Roman" w:hAnsi="Times New Roman" w:eastAsia="仿宋" w:cs="Times New Roman"/>
          <w:color w:val="auto"/>
          <w:sz w:val="32"/>
          <w:szCs w:val="32"/>
          <w:vertAlign w:val="subscript"/>
        </w:rPr>
        <w:t>工业</w:t>
      </w:r>
      <w:r>
        <w:rPr>
          <w:rFonts w:hint="default" w:ascii="Times New Roman" w:hAnsi="Times New Roman" w:eastAsia="仿宋" w:cs="Times New Roman"/>
          <w:color w:val="auto"/>
          <w:sz w:val="32"/>
          <w:szCs w:val="32"/>
          <w:vertAlign w:val="subscript"/>
          <w:lang w:val="en-US" w:eastAsia="zh-CN"/>
        </w:rPr>
        <w:t>过程</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产品产量</w:t>
      </w:r>
      <w:r>
        <w:rPr>
          <w:rFonts w:hint="default" w:ascii="Times New Roman" w:hAnsi="Times New Roman" w:eastAsia="仿宋" w:cs="Times New Roman"/>
          <w:color w:val="auto"/>
          <w:sz w:val="32"/>
          <w:szCs w:val="32"/>
          <w:vertAlign w:val="subscript"/>
        </w:rPr>
        <w:t>i</w:t>
      </w:r>
      <w:r>
        <w:rPr>
          <w:rFonts w:hint="default" w:ascii="Times New Roman" w:hAnsi="Times New Roman" w:eastAsia="仿宋" w:cs="Times New Roman"/>
          <w:color w:val="auto"/>
          <w:sz w:val="32"/>
          <w:szCs w:val="32"/>
        </w:rPr>
        <w:t>×排放因子</w:t>
      </w:r>
      <w:r>
        <w:rPr>
          <w:rFonts w:hint="default" w:ascii="Times New Roman" w:hAnsi="Times New Roman" w:eastAsia="仿宋" w:cs="Times New Roman"/>
          <w:color w:val="auto"/>
          <w:sz w:val="32"/>
          <w:szCs w:val="32"/>
          <w:vertAlign w:val="subscript"/>
        </w:rPr>
        <w:t>i</w:t>
      </w:r>
      <w:r>
        <w:rPr>
          <w:rFonts w:hint="default" w:ascii="Times New Roman" w:hAnsi="Times New Roman" w:eastAsia="仿宋" w:cs="Times New Roman"/>
          <w:color w:val="auto"/>
          <w:sz w:val="32"/>
          <w:szCs w:val="32"/>
          <w:lang w:eastAsia="zh-CN"/>
        </w:rPr>
        <w:t>）</w:t>
      </w:r>
    </w:p>
    <w:p w14:paraId="6D35788A">
      <w:pPr>
        <w:spacing w:line="560" w:lineRule="exact"/>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产品产量为报告期内生产的并符合产品质量要求的实物量，包括商品量和自用量两部分，单位为吨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i为工业产品类型。</w:t>
      </w:r>
    </w:p>
    <w:p w14:paraId="2950C556">
      <w:pPr>
        <w:spacing w:line="560" w:lineRule="exact"/>
        <w:ind w:firstLine="640" w:firstLineChars="200"/>
        <w:jc w:val="both"/>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三</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数据来源。</w:t>
      </w:r>
    </w:p>
    <w:p w14:paraId="7FC60D23">
      <w:pPr>
        <w:spacing w:line="560" w:lineRule="exact"/>
        <w:ind w:firstLine="643"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val="en-US" w:eastAsia="zh-CN"/>
        </w:rPr>
        <w:t>1.</w:t>
      </w:r>
      <w:r>
        <w:rPr>
          <w:rFonts w:hint="default" w:ascii="Times New Roman" w:hAnsi="Times New Roman" w:eastAsia="仿宋" w:cs="Times New Roman"/>
          <w:b/>
          <w:bCs/>
          <w:color w:val="auto"/>
          <w:sz w:val="32"/>
          <w:szCs w:val="32"/>
          <w:lang w:eastAsia="zh-CN"/>
        </w:rPr>
        <w:t>活动水平数据获取。</w:t>
      </w:r>
      <w:r>
        <w:rPr>
          <w:rFonts w:hint="default" w:ascii="Times New Roman" w:hAnsi="Times New Roman" w:eastAsia="仿宋" w:cs="Times New Roman"/>
          <w:color w:val="auto"/>
          <w:sz w:val="32"/>
          <w:szCs w:val="32"/>
          <w:lang w:eastAsia="zh-CN"/>
        </w:rPr>
        <w:t>园区工业生产过程活动数据根据核算期内各企业的生产记录及测量数据来确定。</w:t>
      </w:r>
    </w:p>
    <w:p w14:paraId="4693091B">
      <w:pPr>
        <w:spacing w:line="560" w:lineRule="exact"/>
        <w:ind w:firstLine="643" w:firstLineChars="200"/>
        <w:jc w:val="left"/>
        <w:rPr>
          <w:rFonts w:hint="default" w:eastAsia="仿宋" w:cs="Times New Roman"/>
          <w:color w:val="auto"/>
          <w:sz w:val="32"/>
          <w:szCs w:val="32"/>
          <w:lang w:val="en-US" w:eastAsia="zh-CN"/>
        </w:rPr>
      </w:pPr>
      <w:r>
        <w:rPr>
          <w:rFonts w:hint="default" w:eastAsia="仿宋" w:cs="Times New Roman"/>
          <w:b/>
          <w:bCs/>
          <w:color w:val="auto"/>
          <w:sz w:val="32"/>
          <w:szCs w:val="32"/>
          <w:lang w:val="en-US" w:eastAsia="zh-CN"/>
        </w:rPr>
        <w:t>2.排放因子数据获取。</w:t>
      </w:r>
      <w:r>
        <w:rPr>
          <w:rFonts w:hint="default" w:eastAsia="仿宋" w:cs="Times New Roman"/>
          <w:color w:val="auto"/>
          <w:sz w:val="32"/>
          <w:szCs w:val="32"/>
          <w:lang w:val="en-US" w:eastAsia="zh-CN"/>
        </w:rPr>
        <w:t>工业生产过程排放因子暂按现有数据，园区可基于国家温室气体排放因子数据库、省级温室气体清单、《温室气体排放核算与报告要求》、《企业温室气体排放核算与报告指南》、碳排放核查数据等，结合园区资源禀赋、生产流程、技术设备差异等情况，科学测算使用分产品排放因子，并备注说明。对于未提供排放因子的工业产品，可使用质量平衡法进行核算，须说明具体依据和参考系数。</w:t>
      </w:r>
    </w:p>
    <w:p w14:paraId="5C35F02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5F931482"/>
    <w:rsid w:val="5F931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2026-01-19T07:46:00Z</dcterms:created>
  <dc:creator>杨祖德</dc:creator>
  <cp:lastModifiedBy>杨祖德</cp:lastModifiedBy>
  <dcterms:modified xsi:type="dcterms:W3CDTF">2026-01-19T07:46:27Z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4B6411CF767241E78EACD77830C739A1_11</vt:lpwstr>
  </property>
</Properties>
</file>