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D70C6">
      <w:pPr>
        <w:keepNext w:val="0"/>
        <w:keepLines w:val="0"/>
        <w:pageBreakBefore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14:paraId="4FBA364F">
      <w:pPr>
        <w:rPr>
          <w:rFonts w:hint="default"/>
          <w:color w:val="auto"/>
          <w:lang w:val="en-US" w:eastAsia="zh-CN"/>
        </w:rPr>
      </w:pPr>
    </w:p>
    <w:p w14:paraId="5F015482">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0"/>
          <w:szCs w:val="40"/>
          <w:lang w:eastAsia="zh-CN"/>
        </w:rPr>
      </w:pPr>
      <w:r>
        <w:rPr>
          <w:rFonts w:hint="default" w:ascii="Times New Roman" w:hAnsi="Times New Roman" w:eastAsia="方正小标宋简体" w:cs="Times New Roman"/>
          <w:color w:val="auto"/>
          <w:sz w:val="40"/>
          <w:szCs w:val="40"/>
        </w:rPr>
        <w:t>湖南省零碳园区建设指标体系</w:t>
      </w:r>
    </w:p>
    <w:p w14:paraId="666B7A46">
      <w:pPr>
        <w:rPr>
          <w:rFonts w:hint="default"/>
          <w:color w:val="auto"/>
          <w:lang w:val="en-US" w:eastAsia="zh-CN"/>
        </w:rPr>
      </w:pPr>
    </w:p>
    <w:tbl>
      <w:tblPr>
        <w:tblStyle w:val="5"/>
        <w:tblW w:w="461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8"/>
        <w:gridCol w:w="800"/>
        <w:gridCol w:w="1476"/>
        <w:gridCol w:w="1828"/>
        <w:gridCol w:w="1229"/>
        <w:gridCol w:w="1229"/>
        <w:gridCol w:w="1230"/>
      </w:tblGrid>
      <w:tr w14:paraId="37C11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9" w:type="pct"/>
            <w:vMerge w:val="restart"/>
            <w:tcBorders>
              <w:tl2br w:val="nil"/>
              <w:tr2bl w:val="nil"/>
            </w:tcBorders>
            <w:noWrap w:val="0"/>
            <w:vAlign w:val="center"/>
          </w:tcPr>
          <w:p w14:paraId="5AB2DA54">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color w:val="auto"/>
                <w:kern w:val="0"/>
                <w:sz w:val="22"/>
                <w:szCs w:val="22"/>
                <w:u w:val="none"/>
                <w:lang w:val="en-US" w:eastAsia="zh-CN" w:bidi="ar"/>
              </w:rPr>
              <w:t>序号</w:t>
            </w:r>
          </w:p>
        </w:tc>
        <w:tc>
          <w:tcPr>
            <w:tcW w:w="466" w:type="pct"/>
            <w:vMerge w:val="restart"/>
            <w:tcBorders>
              <w:tl2br w:val="nil"/>
              <w:tr2bl w:val="nil"/>
            </w:tcBorders>
            <w:noWrap w:val="0"/>
            <w:vAlign w:val="center"/>
          </w:tcPr>
          <w:p w14:paraId="1050B53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color w:val="auto"/>
                <w:kern w:val="0"/>
                <w:sz w:val="22"/>
                <w:szCs w:val="22"/>
                <w:u w:val="none"/>
                <w:lang w:val="en-US" w:eastAsia="zh-CN" w:bidi="ar"/>
              </w:rPr>
              <w:t>指标类型</w:t>
            </w:r>
          </w:p>
        </w:tc>
        <w:tc>
          <w:tcPr>
            <w:tcW w:w="1925" w:type="pct"/>
            <w:gridSpan w:val="2"/>
            <w:vMerge w:val="restart"/>
            <w:tcBorders>
              <w:tl2br w:val="nil"/>
              <w:tr2bl w:val="nil"/>
            </w:tcBorders>
            <w:noWrap w:val="0"/>
            <w:vAlign w:val="center"/>
          </w:tcPr>
          <w:p w14:paraId="3B21E95D">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color w:val="auto"/>
                <w:kern w:val="0"/>
                <w:sz w:val="22"/>
                <w:szCs w:val="22"/>
                <w:u w:val="none"/>
                <w:lang w:val="en-US" w:eastAsia="zh-CN" w:bidi="ar"/>
              </w:rPr>
              <w:t>指标名称</w:t>
            </w:r>
          </w:p>
        </w:tc>
        <w:tc>
          <w:tcPr>
            <w:tcW w:w="2149" w:type="pct"/>
            <w:gridSpan w:val="3"/>
            <w:tcBorders>
              <w:tl2br w:val="nil"/>
              <w:tr2bl w:val="nil"/>
            </w:tcBorders>
            <w:noWrap w:val="0"/>
            <w:vAlign w:val="center"/>
          </w:tcPr>
          <w:p w14:paraId="252AE383">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2"/>
                <w:szCs w:val="22"/>
                <w:u w:val="none"/>
                <w:lang w:val="en-US" w:eastAsia="zh-CN" w:bidi="ar"/>
              </w:rPr>
            </w:pPr>
            <w:r>
              <w:rPr>
                <w:rFonts w:hint="default" w:ascii="Times New Roman" w:hAnsi="Times New Roman" w:eastAsia="黑体" w:cs="Times New Roman"/>
                <w:b w:val="0"/>
                <w:bCs w:val="0"/>
                <w:color w:val="auto"/>
                <w:kern w:val="0"/>
                <w:sz w:val="22"/>
                <w:szCs w:val="22"/>
                <w:u w:val="none"/>
                <w:lang w:bidi="ar"/>
              </w:rPr>
              <w:t>目标要求</w:t>
            </w:r>
          </w:p>
        </w:tc>
      </w:tr>
      <w:tr w14:paraId="7D998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9" w:type="pct"/>
            <w:vMerge w:val="continue"/>
            <w:tcBorders>
              <w:tl2br w:val="nil"/>
              <w:tr2bl w:val="nil"/>
            </w:tcBorders>
            <w:noWrap w:val="0"/>
            <w:vAlign w:val="center"/>
          </w:tcPr>
          <w:p w14:paraId="4150812D">
            <w:pPr>
              <w:keepNext w:val="0"/>
              <w:keepLines w:val="0"/>
              <w:widowControl/>
              <w:suppressLineNumbers w:val="0"/>
              <w:jc w:val="center"/>
              <w:textAlignment w:val="center"/>
              <w:rPr>
                <w:color w:val="auto"/>
              </w:rPr>
            </w:pPr>
          </w:p>
        </w:tc>
        <w:tc>
          <w:tcPr>
            <w:tcW w:w="466" w:type="pct"/>
            <w:vMerge w:val="continue"/>
            <w:tcBorders>
              <w:tl2br w:val="nil"/>
              <w:tr2bl w:val="nil"/>
            </w:tcBorders>
            <w:noWrap w:val="0"/>
            <w:vAlign w:val="center"/>
          </w:tcPr>
          <w:p w14:paraId="4AFEEFFE">
            <w:pPr>
              <w:keepNext w:val="0"/>
              <w:keepLines w:val="0"/>
              <w:widowControl/>
              <w:suppressLineNumbers w:val="0"/>
              <w:jc w:val="center"/>
              <w:textAlignment w:val="center"/>
              <w:rPr>
                <w:color w:val="auto"/>
              </w:rPr>
            </w:pPr>
          </w:p>
        </w:tc>
        <w:tc>
          <w:tcPr>
            <w:tcW w:w="1925" w:type="pct"/>
            <w:gridSpan w:val="2"/>
            <w:vMerge w:val="continue"/>
            <w:tcBorders>
              <w:tl2br w:val="nil"/>
              <w:tr2bl w:val="nil"/>
            </w:tcBorders>
            <w:noWrap w:val="0"/>
            <w:vAlign w:val="center"/>
          </w:tcPr>
          <w:p w14:paraId="6F2BFD59">
            <w:pPr>
              <w:keepNext w:val="0"/>
              <w:keepLines w:val="0"/>
              <w:widowControl/>
              <w:suppressLineNumbers w:val="0"/>
              <w:jc w:val="center"/>
              <w:textAlignment w:val="center"/>
              <w:rPr>
                <w:color w:val="auto"/>
              </w:rPr>
            </w:pPr>
          </w:p>
        </w:tc>
        <w:tc>
          <w:tcPr>
            <w:tcW w:w="716" w:type="pct"/>
            <w:tcBorders>
              <w:tl2br w:val="nil"/>
              <w:tr2bl w:val="nil"/>
            </w:tcBorders>
            <w:noWrap w:val="0"/>
            <w:vAlign w:val="center"/>
          </w:tcPr>
          <w:p w14:paraId="571DBEAF">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2"/>
                <w:sz w:val="22"/>
                <w:szCs w:val="22"/>
                <w:u w:val="none"/>
                <w:lang w:val="en-US" w:eastAsia="zh-CN" w:bidi="ar-SA"/>
              </w:rPr>
            </w:pPr>
            <w:r>
              <w:rPr>
                <w:rFonts w:hint="default" w:ascii="Times New Roman" w:hAnsi="Times New Roman" w:eastAsia="黑体" w:cs="Times New Roman"/>
                <w:b w:val="0"/>
                <w:bCs w:val="0"/>
                <w:i w:val="0"/>
                <w:iCs w:val="0"/>
                <w:color w:val="auto"/>
                <w:kern w:val="0"/>
                <w:sz w:val="22"/>
                <w:szCs w:val="22"/>
                <w:u w:val="none"/>
                <w:lang w:val="en-US" w:eastAsia="zh-CN" w:bidi="ar"/>
              </w:rPr>
              <w:t>2027年</w:t>
            </w:r>
          </w:p>
        </w:tc>
        <w:tc>
          <w:tcPr>
            <w:tcW w:w="716" w:type="pct"/>
            <w:tcBorders>
              <w:tl2br w:val="nil"/>
              <w:tr2bl w:val="nil"/>
            </w:tcBorders>
            <w:noWrap w:val="0"/>
            <w:vAlign w:val="center"/>
          </w:tcPr>
          <w:p w14:paraId="695DBE5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2"/>
                <w:szCs w:val="22"/>
                <w:u w:val="none"/>
                <w:lang w:val="en-US" w:eastAsia="zh-CN" w:bidi="ar"/>
              </w:rPr>
            </w:pPr>
            <w:r>
              <w:rPr>
                <w:rFonts w:hint="default" w:ascii="Times New Roman" w:hAnsi="Times New Roman" w:eastAsia="黑体" w:cs="Times New Roman"/>
                <w:b w:val="0"/>
                <w:bCs w:val="0"/>
                <w:i w:val="0"/>
                <w:iCs w:val="0"/>
                <w:color w:val="auto"/>
                <w:kern w:val="0"/>
                <w:sz w:val="22"/>
                <w:szCs w:val="22"/>
                <w:u w:val="none"/>
                <w:lang w:val="en-US" w:eastAsia="zh-CN" w:bidi="ar"/>
              </w:rPr>
              <w:t>2030年</w:t>
            </w:r>
          </w:p>
        </w:tc>
        <w:tc>
          <w:tcPr>
            <w:tcW w:w="716" w:type="pct"/>
            <w:tcBorders>
              <w:tl2br w:val="nil"/>
              <w:tr2bl w:val="nil"/>
            </w:tcBorders>
            <w:noWrap w:val="0"/>
            <w:vAlign w:val="center"/>
          </w:tcPr>
          <w:p w14:paraId="3D54BA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2"/>
                <w:szCs w:val="22"/>
                <w:u w:val="none"/>
                <w:lang w:val="en-US" w:eastAsia="zh-CN" w:bidi="ar"/>
              </w:rPr>
            </w:pPr>
            <w:r>
              <w:rPr>
                <w:rFonts w:hint="default" w:ascii="Times New Roman" w:hAnsi="Times New Roman" w:eastAsia="黑体" w:cs="Times New Roman"/>
                <w:b w:val="0"/>
                <w:bCs w:val="0"/>
                <w:i w:val="0"/>
                <w:iCs w:val="0"/>
                <w:color w:val="auto"/>
                <w:kern w:val="0"/>
                <w:sz w:val="22"/>
                <w:szCs w:val="22"/>
                <w:u w:val="none"/>
                <w:lang w:val="en-US" w:eastAsia="zh-CN" w:bidi="ar"/>
              </w:rPr>
              <w:t>2035年</w:t>
            </w:r>
          </w:p>
        </w:tc>
      </w:tr>
      <w:tr w14:paraId="75378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59" w:type="pct"/>
            <w:vMerge w:val="restart"/>
            <w:tcBorders>
              <w:tl2br w:val="nil"/>
              <w:tr2bl w:val="nil"/>
            </w:tcBorders>
            <w:noWrap w:val="0"/>
            <w:vAlign w:val="center"/>
          </w:tcPr>
          <w:p w14:paraId="6586917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1</w:t>
            </w:r>
          </w:p>
        </w:tc>
        <w:tc>
          <w:tcPr>
            <w:tcW w:w="466" w:type="pct"/>
            <w:vMerge w:val="restart"/>
            <w:tcBorders>
              <w:tl2br w:val="nil"/>
              <w:tr2bl w:val="nil"/>
            </w:tcBorders>
            <w:noWrap w:val="0"/>
            <w:vAlign w:val="center"/>
          </w:tcPr>
          <w:p w14:paraId="2C1DD21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 w:cs="Times New Roman"/>
                <w:i w:val="0"/>
                <w:iCs w:val="0"/>
                <w:color w:val="auto"/>
                <w:kern w:val="0"/>
                <w:sz w:val="24"/>
                <w:szCs w:val="24"/>
                <w:u w:val="none"/>
                <w:lang w:val="en-US" w:eastAsia="zh-CN" w:bidi="ar"/>
              </w:rPr>
              <w:t>核心指标</w:t>
            </w:r>
          </w:p>
        </w:tc>
        <w:tc>
          <w:tcPr>
            <w:tcW w:w="860" w:type="pct"/>
            <w:vMerge w:val="restart"/>
            <w:tcBorders>
              <w:right w:val="single" w:color="auto" w:sz="4" w:space="0"/>
              <w:tl2br w:val="nil"/>
              <w:tr2bl w:val="nil"/>
            </w:tcBorders>
            <w:noWrap/>
            <w:vAlign w:val="center"/>
          </w:tcPr>
          <w:p w14:paraId="4177DE79">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单位能耗</w:t>
            </w:r>
          </w:p>
          <w:p w14:paraId="1A4CC023">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碳排放（tCO</w:t>
            </w:r>
            <w:r>
              <w:rPr>
                <w:rFonts w:hint="default" w:ascii="Times New Roman" w:hAnsi="Times New Roman" w:eastAsia="仿宋" w:cs="Times New Roman"/>
                <w:i w:val="0"/>
                <w:iCs w:val="0"/>
                <w:color w:val="auto"/>
                <w:kern w:val="0"/>
                <w:sz w:val="24"/>
                <w:szCs w:val="24"/>
                <w:u w:val="none"/>
                <w:vertAlign w:val="subscript"/>
                <w:lang w:val="en-US" w:eastAsia="zh-CN" w:bidi="ar"/>
              </w:rPr>
              <w:t>2</w:t>
            </w:r>
            <w:r>
              <w:rPr>
                <w:rFonts w:hint="default" w:ascii="Times New Roman" w:hAnsi="Times New Roman" w:eastAsia="仿宋" w:cs="Times New Roman"/>
                <w:i w:val="0"/>
                <w:iCs w:val="0"/>
                <w:color w:val="auto"/>
                <w:kern w:val="0"/>
                <w:sz w:val="24"/>
                <w:szCs w:val="24"/>
                <w:u w:val="none"/>
                <w:lang w:val="en-US" w:eastAsia="zh-CN" w:bidi="ar"/>
              </w:rPr>
              <w:t>/tce）</w:t>
            </w:r>
          </w:p>
        </w:tc>
        <w:tc>
          <w:tcPr>
            <w:tcW w:w="1065" w:type="pct"/>
            <w:tcBorders>
              <w:left w:val="single" w:color="auto" w:sz="4" w:space="0"/>
              <w:bottom w:val="single" w:color="auto" w:sz="4" w:space="0"/>
              <w:tl2br w:val="nil"/>
              <w:tr2bl w:val="nil"/>
            </w:tcBorders>
            <w:noWrap/>
            <w:vAlign w:val="center"/>
          </w:tcPr>
          <w:p w14:paraId="158B3ECC">
            <w:pPr>
              <w:keepNext w:val="0"/>
              <w:keepLines w:val="0"/>
              <w:widowControl/>
              <w:suppressLineNumbers w:val="0"/>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年综合能源消费量2-100万吨标准煤的园区</w:t>
            </w:r>
          </w:p>
        </w:tc>
        <w:tc>
          <w:tcPr>
            <w:tcW w:w="716" w:type="pct"/>
            <w:tcBorders>
              <w:tl2br w:val="nil"/>
              <w:tr2bl w:val="nil"/>
            </w:tcBorders>
            <w:noWrap w:val="0"/>
            <w:vAlign w:val="center"/>
          </w:tcPr>
          <w:p w14:paraId="406C858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bidi="ar"/>
              </w:rPr>
            </w:pPr>
            <w:r>
              <w:rPr>
                <w:rFonts w:hint="default" w:ascii="Times New Roman" w:hAnsi="Times New Roman" w:eastAsia="仿宋" w:cs="Times New Roman"/>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1.0</w:t>
            </w:r>
          </w:p>
        </w:tc>
        <w:tc>
          <w:tcPr>
            <w:tcW w:w="716" w:type="pct"/>
            <w:tcBorders>
              <w:tl2br w:val="nil"/>
              <w:tr2bl w:val="nil"/>
            </w:tcBorders>
            <w:noWrap w:val="0"/>
            <w:vAlign w:val="center"/>
          </w:tcPr>
          <w:p w14:paraId="428D204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0.7</w:t>
            </w:r>
          </w:p>
        </w:tc>
        <w:tc>
          <w:tcPr>
            <w:tcW w:w="716" w:type="pct"/>
            <w:tcBorders>
              <w:tl2br w:val="nil"/>
              <w:tr2bl w:val="nil"/>
            </w:tcBorders>
            <w:noWrap w:val="0"/>
            <w:vAlign w:val="center"/>
          </w:tcPr>
          <w:p w14:paraId="7C07784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0.</w:t>
            </w:r>
            <w:r>
              <w:rPr>
                <w:rFonts w:hint="default" w:eastAsia="仿宋" w:cs="Times New Roman"/>
                <w:i w:val="0"/>
                <w:iCs w:val="0"/>
                <w:color w:val="auto"/>
                <w:kern w:val="0"/>
                <w:sz w:val="24"/>
                <w:szCs w:val="24"/>
                <w:u w:val="none"/>
                <w:lang w:val="en-US" w:eastAsia="zh-CN" w:bidi="ar"/>
              </w:rPr>
              <w:t>3</w:t>
            </w:r>
          </w:p>
        </w:tc>
      </w:tr>
      <w:tr w14:paraId="59089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459" w:type="pct"/>
            <w:vMerge w:val="continue"/>
            <w:tcBorders>
              <w:tl2br w:val="nil"/>
              <w:tr2bl w:val="nil"/>
            </w:tcBorders>
            <w:noWrap w:val="0"/>
            <w:vAlign w:val="center"/>
          </w:tcPr>
          <w:p w14:paraId="3054F5C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466" w:type="pct"/>
            <w:vMerge w:val="continue"/>
            <w:tcBorders>
              <w:tl2br w:val="nil"/>
              <w:tr2bl w:val="nil"/>
            </w:tcBorders>
            <w:noWrap w:val="0"/>
            <w:vAlign w:val="center"/>
          </w:tcPr>
          <w:p w14:paraId="745C51D1">
            <w:pPr>
              <w:jc w:val="center"/>
              <w:rPr>
                <w:rFonts w:hint="default" w:ascii="Times New Roman" w:hAnsi="Times New Roman" w:eastAsia="仿宋_GB2312" w:cs="Times New Roman"/>
                <w:i w:val="0"/>
                <w:iCs w:val="0"/>
                <w:color w:val="auto"/>
                <w:sz w:val="24"/>
                <w:szCs w:val="24"/>
                <w:u w:val="none"/>
              </w:rPr>
            </w:pPr>
          </w:p>
        </w:tc>
        <w:tc>
          <w:tcPr>
            <w:tcW w:w="860" w:type="pct"/>
            <w:vMerge w:val="continue"/>
            <w:tcBorders>
              <w:right w:val="single" w:color="auto" w:sz="4" w:space="0"/>
              <w:tl2br w:val="nil"/>
              <w:tr2bl w:val="nil"/>
            </w:tcBorders>
            <w:noWrap/>
            <w:vAlign w:val="center"/>
          </w:tcPr>
          <w:p w14:paraId="47CF476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p>
        </w:tc>
        <w:tc>
          <w:tcPr>
            <w:tcW w:w="1065" w:type="pct"/>
            <w:tcBorders>
              <w:top w:val="single" w:color="auto" w:sz="4" w:space="0"/>
              <w:left w:val="single" w:color="auto" w:sz="4" w:space="0"/>
              <w:tl2br w:val="nil"/>
              <w:tr2bl w:val="nil"/>
            </w:tcBorders>
            <w:noWrap/>
            <w:vAlign w:val="center"/>
          </w:tcPr>
          <w:p w14:paraId="58C1CE3C">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aps w:val="0"/>
                <w:color w:val="auto"/>
                <w:spacing w:val="0"/>
                <w:kern w:val="0"/>
                <w:sz w:val="24"/>
                <w:szCs w:val="24"/>
                <w:u w:val="none"/>
                <w:shd w:val="clear" w:color="auto" w:fill="auto"/>
                <w:lang w:val="en-US" w:eastAsia="zh-CN" w:bidi="ar"/>
              </w:rPr>
              <w:t>年综合能源消费量</w:t>
            </w:r>
            <w:r>
              <w:rPr>
                <w:rFonts w:hint="default" w:ascii="Times New Roman" w:hAnsi="Times New Roman" w:eastAsia="仿宋" w:cs="Times New Roman"/>
                <w:color w:val="auto"/>
                <w:kern w:val="0"/>
                <w:sz w:val="24"/>
                <w:szCs w:val="24"/>
                <w:u w:val="none"/>
                <w:lang w:bidi="ar"/>
              </w:rPr>
              <w:t>≥</w:t>
            </w:r>
            <w:r>
              <w:rPr>
                <w:rFonts w:hint="default" w:ascii="Times New Roman" w:hAnsi="Times New Roman" w:eastAsia="仿宋" w:cs="Times New Roman"/>
                <w:color w:val="auto"/>
                <w:kern w:val="0"/>
                <w:sz w:val="24"/>
                <w:szCs w:val="24"/>
                <w:u w:val="none"/>
                <w:lang w:val="en-US" w:eastAsia="zh-CN" w:bidi="ar"/>
              </w:rPr>
              <w:t>100万吨标准煤的园区</w:t>
            </w:r>
          </w:p>
        </w:tc>
        <w:tc>
          <w:tcPr>
            <w:tcW w:w="716" w:type="pct"/>
            <w:tcBorders>
              <w:tl2br w:val="nil"/>
              <w:tr2bl w:val="nil"/>
            </w:tcBorders>
            <w:noWrap w:val="0"/>
            <w:vAlign w:val="center"/>
          </w:tcPr>
          <w:p w14:paraId="350F72C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bidi="ar"/>
              </w:rPr>
            </w:pPr>
            <w:r>
              <w:rPr>
                <w:rFonts w:hint="default" w:ascii="Times New Roman" w:hAnsi="Times New Roman" w:eastAsia="仿宋" w:cs="Times New Roman"/>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aps w:val="0"/>
                <w:color w:val="auto"/>
                <w:spacing w:val="0"/>
                <w:kern w:val="0"/>
                <w:sz w:val="24"/>
                <w:szCs w:val="24"/>
                <w:u w:val="none"/>
                <w:shd w:val="clear" w:color="auto" w:fill="auto"/>
                <w:lang w:val="en-US" w:eastAsia="zh-CN" w:bidi="ar"/>
              </w:rPr>
              <w:t>1.1</w:t>
            </w:r>
          </w:p>
        </w:tc>
        <w:tc>
          <w:tcPr>
            <w:tcW w:w="716" w:type="pct"/>
            <w:tcBorders>
              <w:tl2br w:val="nil"/>
              <w:tr2bl w:val="nil"/>
            </w:tcBorders>
            <w:noWrap w:val="0"/>
            <w:vAlign w:val="center"/>
          </w:tcPr>
          <w:p w14:paraId="5A40B6BD">
            <w:pPr>
              <w:keepNext w:val="0"/>
              <w:keepLines w:val="0"/>
              <w:widowControl/>
              <w:suppressLineNumbers w:val="0"/>
              <w:jc w:val="center"/>
              <w:textAlignment w:val="center"/>
              <w:rPr>
                <w:rFonts w:hint="default" w:ascii="Times New Roman" w:hAnsi="Times New Roman" w:eastAsia="仿宋_GB2312" w:cs="Times New Roman"/>
                <w:i w:val="0"/>
                <w:iCs w:val="0"/>
                <w:caps w:val="0"/>
                <w:color w:val="auto"/>
                <w:spacing w:val="0"/>
                <w:kern w:val="0"/>
                <w:sz w:val="24"/>
                <w:szCs w:val="24"/>
                <w:u w:val="none"/>
                <w:shd w:val="clear" w:color="auto" w:fill="auto"/>
                <w:lang w:val="en-US" w:eastAsia="zh-CN" w:bidi="ar"/>
              </w:rPr>
            </w:pPr>
            <w:r>
              <w:rPr>
                <w:rFonts w:hint="default" w:ascii="Times New Roman" w:hAnsi="Times New Roman" w:eastAsia="仿宋" w:cs="Times New Roman"/>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aps w:val="0"/>
                <w:color w:val="auto"/>
                <w:spacing w:val="0"/>
                <w:kern w:val="0"/>
                <w:sz w:val="24"/>
                <w:szCs w:val="24"/>
                <w:u w:val="none"/>
                <w:shd w:val="clear" w:color="auto" w:fill="auto"/>
                <w:lang w:val="en-US" w:eastAsia="zh-CN" w:bidi="ar"/>
              </w:rPr>
              <w:t>0.8</w:t>
            </w:r>
          </w:p>
        </w:tc>
        <w:tc>
          <w:tcPr>
            <w:tcW w:w="716" w:type="pct"/>
            <w:tcBorders>
              <w:tl2br w:val="nil"/>
              <w:tr2bl w:val="nil"/>
            </w:tcBorders>
            <w:noWrap w:val="0"/>
            <w:vAlign w:val="center"/>
          </w:tcPr>
          <w:p w14:paraId="7CCF9008">
            <w:pPr>
              <w:keepNext w:val="0"/>
              <w:keepLines w:val="0"/>
              <w:widowControl/>
              <w:suppressLineNumbers w:val="0"/>
              <w:jc w:val="center"/>
              <w:textAlignment w:val="center"/>
              <w:rPr>
                <w:rFonts w:hint="default" w:ascii="Times New Roman" w:hAnsi="Times New Roman" w:eastAsia="仿宋_GB2312" w:cs="Times New Roman"/>
                <w:i w:val="0"/>
                <w:iCs w:val="0"/>
                <w:caps w:val="0"/>
                <w:color w:val="auto"/>
                <w:spacing w:val="0"/>
                <w:kern w:val="0"/>
                <w:sz w:val="24"/>
                <w:szCs w:val="24"/>
                <w:u w:val="none"/>
                <w:shd w:val="clear" w:color="auto" w:fill="auto"/>
                <w:lang w:val="en-US" w:eastAsia="zh-CN" w:bidi="ar"/>
              </w:rPr>
            </w:pPr>
            <w:r>
              <w:rPr>
                <w:rFonts w:hint="default" w:ascii="Times New Roman" w:hAnsi="Times New Roman" w:eastAsia="仿宋" w:cs="Times New Roman"/>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aps w:val="0"/>
                <w:color w:val="auto"/>
                <w:spacing w:val="0"/>
                <w:kern w:val="0"/>
                <w:sz w:val="24"/>
                <w:szCs w:val="24"/>
                <w:u w:val="none"/>
                <w:shd w:val="clear" w:color="auto" w:fill="auto"/>
                <w:lang w:val="en-US" w:eastAsia="zh-CN" w:bidi="ar"/>
              </w:rPr>
              <w:t>0.</w:t>
            </w:r>
            <w:r>
              <w:rPr>
                <w:rFonts w:hint="default" w:eastAsia="仿宋" w:cs="Times New Roman"/>
                <w:i w:val="0"/>
                <w:iCs w:val="0"/>
                <w:caps w:val="0"/>
                <w:color w:val="auto"/>
                <w:spacing w:val="0"/>
                <w:kern w:val="0"/>
                <w:sz w:val="24"/>
                <w:szCs w:val="24"/>
                <w:u w:val="none"/>
                <w:shd w:val="clear" w:color="auto" w:fill="auto"/>
                <w:lang w:val="en-US" w:eastAsia="zh-CN" w:bidi="ar"/>
              </w:rPr>
              <w:t>5</w:t>
            </w:r>
          </w:p>
        </w:tc>
      </w:tr>
      <w:tr w14:paraId="2632C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9" w:type="pct"/>
            <w:tcBorders>
              <w:tl2br w:val="nil"/>
              <w:tr2bl w:val="nil"/>
            </w:tcBorders>
            <w:noWrap w:val="0"/>
            <w:vAlign w:val="center"/>
          </w:tcPr>
          <w:p w14:paraId="37A3E4B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 w:cs="Times New Roman"/>
                <w:i w:val="0"/>
                <w:iCs w:val="0"/>
                <w:color w:val="auto"/>
                <w:sz w:val="24"/>
                <w:szCs w:val="24"/>
                <w:u w:val="none"/>
                <w:lang w:val="en-US" w:eastAsia="zh-CN"/>
              </w:rPr>
              <w:t>2</w:t>
            </w:r>
          </w:p>
        </w:tc>
        <w:tc>
          <w:tcPr>
            <w:tcW w:w="466" w:type="pct"/>
            <w:vMerge w:val="restart"/>
            <w:tcBorders>
              <w:tl2br w:val="nil"/>
              <w:tr2bl w:val="nil"/>
            </w:tcBorders>
            <w:noWrap w:val="0"/>
            <w:vAlign w:val="center"/>
          </w:tcPr>
          <w:p w14:paraId="57B5C59C">
            <w:pPr>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 w:cs="Times New Roman"/>
                <w:i w:val="0"/>
                <w:iCs w:val="0"/>
                <w:color w:val="auto"/>
                <w:sz w:val="24"/>
                <w:szCs w:val="24"/>
                <w:u w:val="none"/>
                <w:lang w:val="en-US" w:eastAsia="zh-CN"/>
              </w:rPr>
              <w:t>引导指标</w:t>
            </w:r>
          </w:p>
        </w:tc>
        <w:tc>
          <w:tcPr>
            <w:tcW w:w="1925" w:type="pct"/>
            <w:gridSpan w:val="2"/>
            <w:tcBorders>
              <w:tl2br w:val="nil"/>
              <w:tr2bl w:val="nil"/>
            </w:tcBorders>
            <w:noWrap/>
            <w:vAlign w:val="center"/>
          </w:tcPr>
          <w:p w14:paraId="7A97FFFC">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技工贸收入</w:t>
            </w:r>
          </w:p>
        </w:tc>
        <w:tc>
          <w:tcPr>
            <w:tcW w:w="2149" w:type="pct"/>
            <w:gridSpan w:val="3"/>
            <w:tcBorders>
              <w:tl2br w:val="nil"/>
              <w:tr2bl w:val="nil"/>
            </w:tcBorders>
            <w:noWrap w:val="0"/>
            <w:vAlign w:val="center"/>
          </w:tcPr>
          <w:p w14:paraId="7651792C">
            <w:pPr>
              <w:keepNext w:val="0"/>
              <w:keepLines w:val="0"/>
              <w:widowControl/>
              <w:suppressLineNumbers w:val="0"/>
              <w:jc w:val="center"/>
              <w:textAlignment w:val="center"/>
              <w:rPr>
                <w:rFonts w:hint="default" w:ascii="Times New Roman" w:hAnsi="Times New Roman" w:eastAsia="仿宋_GB2312" w:cs="Times New Roman"/>
                <w:b w:val="0"/>
                <w:bCs w:val="0"/>
                <w:i w:val="0"/>
                <w:iCs w:val="0"/>
                <w:caps w:val="0"/>
                <w:color w:val="auto"/>
                <w:spacing w:val="0"/>
                <w:kern w:val="0"/>
                <w:sz w:val="24"/>
                <w:szCs w:val="24"/>
                <w:u w:val="none"/>
                <w:shd w:val="clear" w:color="auto" w:fill="auto"/>
                <w:lang w:eastAsia="zh-CN"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eastAsia="zh-CN" w:bidi="ar"/>
              </w:rPr>
              <w:t>零碳园区建设期内持续增长</w:t>
            </w:r>
          </w:p>
        </w:tc>
      </w:tr>
      <w:tr w14:paraId="642FD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9" w:type="pct"/>
            <w:tcBorders>
              <w:tl2br w:val="nil"/>
              <w:tr2bl w:val="nil"/>
            </w:tcBorders>
            <w:noWrap w:val="0"/>
            <w:vAlign w:val="center"/>
          </w:tcPr>
          <w:p w14:paraId="72A34A7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 w:cs="Times New Roman"/>
                <w:i w:val="0"/>
                <w:iCs w:val="0"/>
                <w:color w:val="auto"/>
                <w:sz w:val="24"/>
                <w:szCs w:val="24"/>
                <w:u w:val="none"/>
                <w:lang w:val="en-US" w:eastAsia="zh-CN"/>
              </w:rPr>
              <w:t>3</w:t>
            </w:r>
          </w:p>
        </w:tc>
        <w:tc>
          <w:tcPr>
            <w:tcW w:w="466" w:type="pct"/>
            <w:vMerge w:val="continue"/>
            <w:tcBorders>
              <w:tl2br w:val="nil"/>
              <w:tr2bl w:val="nil"/>
            </w:tcBorders>
            <w:noWrap w:val="0"/>
            <w:vAlign w:val="center"/>
          </w:tcPr>
          <w:p w14:paraId="531525E1">
            <w:pPr>
              <w:jc w:val="center"/>
              <w:rPr>
                <w:rFonts w:hint="default" w:ascii="Times New Roman" w:hAnsi="Times New Roman" w:eastAsia="仿宋_GB2312" w:cs="Times New Roman"/>
                <w:i w:val="0"/>
                <w:iCs w:val="0"/>
                <w:color w:val="auto"/>
                <w:sz w:val="24"/>
                <w:szCs w:val="24"/>
                <w:u w:val="none"/>
                <w:lang w:val="en-US" w:eastAsia="zh-CN"/>
              </w:rPr>
            </w:pPr>
          </w:p>
        </w:tc>
        <w:tc>
          <w:tcPr>
            <w:tcW w:w="1925" w:type="pct"/>
            <w:gridSpan w:val="2"/>
            <w:tcBorders>
              <w:tl2br w:val="nil"/>
              <w:tr2bl w:val="nil"/>
            </w:tcBorders>
            <w:noWrap/>
            <w:vAlign w:val="center"/>
          </w:tcPr>
          <w:p w14:paraId="6A787863">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 w:cs="Times New Roman"/>
                <w:i w:val="0"/>
                <w:iCs w:val="0"/>
                <w:color w:val="auto"/>
                <w:kern w:val="0"/>
                <w:sz w:val="24"/>
                <w:szCs w:val="24"/>
                <w:u w:val="none"/>
                <w:lang w:val="en-US" w:eastAsia="zh-CN" w:bidi="ar"/>
              </w:rPr>
              <w:t>清洁能源消费占比</w:t>
            </w:r>
          </w:p>
        </w:tc>
        <w:tc>
          <w:tcPr>
            <w:tcW w:w="716" w:type="pct"/>
            <w:tcBorders>
              <w:tl2br w:val="nil"/>
              <w:tr2bl w:val="nil"/>
            </w:tcBorders>
            <w:noWrap w:val="0"/>
            <w:vAlign w:val="center"/>
          </w:tcPr>
          <w:p w14:paraId="1AB44F0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60%</w:t>
            </w:r>
          </w:p>
        </w:tc>
        <w:tc>
          <w:tcPr>
            <w:tcW w:w="716" w:type="pct"/>
            <w:tcBorders>
              <w:tl2br w:val="nil"/>
              <w:tr2bl w:val="nil"/>
            </w:tcBorders>
            <w:noWrap w:val="0"/>
            <w:vAlign w:val="center"/>
          </w:tcPr>
          <w:p w14:paraId="2784AD19">
            <w:pPr>
              <w:keepNext w:val="0"/>
              <w:keepLines w:val="0"/>
              <w:widowControl/>
              <w:suppressLineNumbers w:val="0"/>
              <w:jc w:val="center"/>
              <w:textAlignment w:val="center"/>
              <w:rPr>
                <w:rFonts w:hint="default" w:ascii="Times New Roman" w:hAnsi="Times New Roman" w:eastAsia="仿宋_GB2312" w:cs="Times New Roman"/>
                <w:b w:val="0"/>
                <w:bCs w:val="0"/>
                <w:i w:val="0"/>
                <w:iCs w:val="0"/>
                <w:caps w:val="0"/>
                <w:color w:val="auto"/>
                <w:spacing w:val="0"/>
                <w:kern w:val="0"/>
                <w:sz w:val="24"/>
                <w:szCs w:val="24"/>
                <w:u w:val="none"/>
                <w:shd w:val="clear" w:color="auto" w:fill="auto"/>
                <w:lang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70%</w:t>
            </w:r>
          </w:p>
        </w:tc>
        <w:tc>
          <w:tcPr>
            <w:tcW w:w="716" w:type="pct"/>
            <w:tcBorders>
              <w:tl2br w:val="nil"/>
              <w:tr2bl w:val="nil"/>
            </w:tcBorders>
            <w:noWrap w:val="0"/>
            <w:vAlign w:val="center"/>
          </w:tcPr>
          <w:p w14:paraId="36C9C9F5">
            <w:pPr>
              <w:keepNext w:val="0"/>
              <w:keepLines w:val="0"/>
              <w:widowControl/>
              <w:suppressLineNumbers w:val="0"/>
              <w:jc w:val="center"/>
              <w:textAlignment w:val="center"/>
              <w:rPr>
                <w:rFonts w:hint="default" w:ascii="Times New Roman" w:hAnsi="Times New Roman" w:eastAsia="仿宋_GB2312" w:cs="Times New Roman"/>
                <w:b w:val="0"/>
                <w:bCs w:val="0"/>
                <w:i w:val="0"/>
                <w:iCs w:val="0"/>
                <w:caps w:val="0"/>
                <w:color w:val="auto"/>
                <w:spacing w:val="0"/>
                <w:kern w:val="0"/>
                <w:sz w:val="24"/>
                <w:szCs w:val="24"/>
                <w:u w:val="none"/>
                <w:shd w:val="clear" w:color="auto" w:fill="auto"/>
                <w:lang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90%</w:t>
            </w:r>
          </w:p>
        </w:tc>
      </w:tr>
      <w:tr w14:paraId="6E844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9" w:type="pct"/>
            <w:tcBorders>
              <w:tl2br w:val="nil"/>
              <w:tr2bl w:val="nil"/>
            </w:tcBorders>
            <w:noWrap w:val="0"/>
            <w:vAlign w:val="center"/>
          </w:tcPr>
          <w:p w14:paraId="25E8A1B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 w:cs="Times New Roman"/>
                <w:i w:val="0"/>
                <w:iCs w:val="0"/>
                <w:color w:val="auto"/>
                <w:sz w:val="24"/>
                <w:szCs w:val="24"/>
                <w:u w:val="none"/>
                <w:lang w:val="en-US" w:eastAsia="zh-CN"/>
              </w:rPr>
              <w:t>4</w:t>
            </w:r>
          </w:p>
        </w:tc>
        <w:tc>
          <w:tcPr>
            <w:tcW w:w="466" w:type="pct"/>
            <w:vMerge w:val="continue"/>
            <w:tcBorders>
              <w:tl2br w:val="nil"/>
              <w:tr2bl w:val="nil"/>
            </w:tcBorders>
            <w:noWrap w:val="0"/>
            <w:vAlign w:val="center"/>
          </w:tcPr>
          <w:p w14:paraId="76A61061">
            <w:pPr>
              <w:jc w:val="center"/>
              <w:rPr>
                <w:rFonts w:hint="default" w:ascii="Times New Roman" w:hAnsi="Times New Roman" w:eastAsia="仿宋_GB2312" w:cs="Times New Roman"/>
                <w:i w:val="0"/>
                <w:iCs w:val="0"/>
                <w:color w:val="auto"/>
                <w:sz w:val="24"/>
                <w:szCs w:val="24"/>
                <w:u w:val="none"/>
              </w:rPr>
            </w:pPr>
          </w:p>
        </w:tc>
        <w:tc>
          <w:tcPr>
            <w:tcW w:w="1925" w:type="pct"/>
            <w:gridSpan w:val="2"/>
            <w:tcBorders>
              <w:tl2br w:val="nil"/>
              <w:tr2bl w:val="nil"/>
            </w:tcBorders>
            <w:noWrap/>
            <w:vAlign w:val="center"/>
          </w:tcPr>
          <w:p w14:paraId="5CC5E48E">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 w:cs="Times New Roman"/>
                <w:i w:val="0"/>
                <w:iCs w:val="0"/>
                <w:color w:val="auto"/>
                <w:kern w:val="2"/>
                <w:sz w:val="24"/>
                <w:szCs w:val="24"/>
                <w:u w:val="none"/>
                <w:lang w:val="en-US" w:eastAsia="zh-CN" w:bidi="ar-SA"/>
              </w:rPr>
              <w:t>园区企业产出产品单位能耗</w:t>
            </w:r>
          </w:p>
        </w:tc>
        <w:tc>
          <w:tcPr>
            <w:tcW w:w="2149" w:type="pct"/>
            <w:gridSpan w:val="3"/>
            <w:tcBorders>
              <w:tl2br w:val="nil"/>
              <w:tr2bl w:val="nil"/>
            </w:tcBorders>
            <w:noWrap w:val="0"/>
            <w:vAlign w:val="center"/>
          </w:tcPr>
          <w:p w14:paraId="479E0DEF">
            <w:pPr>
              <w:keepNext w:val="0"/>
              <w:keepLines w:val="0"/>
              <w:widowControl/>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 w:cs="Times New Roman"/>
                <w:i w:val="0"/>
                <w:iCs w:val="0"/>
                <w:color w:val="auto"/>
                <w:kern w:val="0"/>
                <w:sz w:val="24"/>
                <w:szCs w:val="24"/>
                <w:u w:val="none"/>
                <w:lang w:val="en-US" w:eastAsia="zh-CN" w:bidi="ar"/>
              </w:rPr>
              <w:t>达到或优于二级能耗限额标准</w:t>
            </w:r>
          </w:p>
        </w:tc>
      </w:tr>
      <w:tr w14:paraId="3E37D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9" w:type="pct"/>
            <w:tcBorders>
              <w:tl2br w:val="nil"/>
              <w:tr2bl w:val="nil"/>
            </w:tcBorders>
            <w:noWrap w:val="0"/>
            <w:vAlign w:val="center"/>
          </w:tcPr>
          <w:p w14:paraId="266B7BD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 w:cs="Times New Roman"/>
                <w:i w:val="0"/>
                <w:iCs w:val="0"/>
                <w:color w:val="auto"/>
                <w:sz w:val="24"/>
                <w:szCs w:val="24"/>
                <w:u w:val="none"/>
                <w:lang w:val="en-US" w:eastAsia="zh-CN"/>
              </w:rPr>
              <w:t>5</w:t>
            </w:r>
          </w:p>
        </w:tc>
        <w:tc>
          <w:tcPr>
            <w:tcW w:w="466" w:type="pct"/>
            <w:vMerge w:val="continue"/>
            <w:tcBorders>
              <w:tl2br w:val="nil"/>
              <w:tr2bl w:val="nil"/>
            </w:tcBorders>
            <w:noWrap w:val="0"/>
            <w:vAlign w:val="center"/>
          </w:tcPr>
          <w:p w14:paraId="08C5347A">
            <w:pPr>
              <w:jc w:val="center"/>
              <w:rPr>
                <w:rFonts w:hint="default" w:ascii="Times New Roman" w:hAnsi="Times New Roman" w:eastAsia="仿宋_GB2312" w:cs="Times New Roman"/>
                <w:i w:val="0"/>
                <w:iCs w:val="0"/>
                <w:color w:val="auto"/>
                <w:sz w:val="24"/>
                <w:szCs w:val="24"/>
                <w:u w:val="none"/>
              </w:rPr>
            </w:pPr>
          </w:p>
        </w:tc>
        <w:tc>
          <w:tcPr>
            <w:tcW w:w="1925" w:type="pct"/>
            <w:gridSpan w:val="2"/>
            <w:tcBorders>
              <w:tl2br w:val="nil"/>
              <w:tr2bl w:val="nil"/>
            </w:tcBorders>
            <w:noWrap/>
            <w:vAlign w:val="center"/>
          </w:tcPr>
          <w:p w14:paraId="048E7888">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 w:cs="Times New Roman"/>
                <w:i w:val="0"/>
                <w:iCs w:val="0"/>
                <w:color w:val="auto"/>
                <w:kern w:val="0"/>
                <w:sz w:val="24"/>
                <w:szCs w:val="24"/>
                <w:u w:val="none"/>
                <w:lang w:val="en-US" w:eastAsia="zh-CN" w:bidi="ar"/>
              </w:rPr>
              <w:t>工业固体废弃物综合利用率</w:t>
            </w:r>
          </w:p>
        </w:tc>
        <w:tc>
          <w:tcPr>
            <w:tcW w:w="716" w:type="pct"/>
            <w:tcBorders>
              <w:tl2br w:val="nil"/>
              <w:tr2bl w:val="nil"/>
            </w:tcBorders>
            <w:noWrap w:val="0"/>
            <w:vAlign w:val="center"/>
          </w:tcPr>
          <w:p w14:paraId="76EE4719">
            <w:pPr>
              <w:keepNext w:val="0"/>
              <w:keepLines w:val="0"/>
              <w:widowControl/>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80%</w:t>
            </w:r>
          </w:p>
        </w:tc>
        <w:tc>
          <w:tcPr>
            <w:tcW w:w="716" w:type="pct"/>
            <w:tcBorders>
              <w:tl2br w:val="nil"/>
              <w:tr2bl w:val="nil"/>
            </w:tcBorders>
            <w:noWrap w:val="0"/>
            <w:vAlign w:val="center"/>
          </w:tcPr>
          <w:p w14:paraId="7145AA41">
            <w:pPr>
              <w:keepNext w:val="0"/>
              <w:keepLines w:val="0"/>
              <w:widowControl/>
              <w:jc w:val="center"/>
              <w:textAlignment w:val="center"/>
              <w:rPr>
                <w:rFonts w:hint="default" w:ascii="Times New Roman" w:hAnsi="Times New Roman" w:eastAsia="仿宋_GB2312" w:cs="Times New Roman"/>
                <w:b w:val="0"/>
                <w:bCs w:val="0"/>
                <w:i w:val="0"/>
                <w:iCs w:val="0"/>
                <w:caps w:val="0"/>
                <w:color w:val="auto"/>
                <w:spacing w:val="0"/>
                <w:kern w:val="0"/>
                <w:sz w:val="24"/>
                <w:szCs w:val="24"/>
                <w:u w:val="none"/>
                <w:shd w:val="clear" w:color="auto" w:fill="auto"/>
                <w:lang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85%</w:t>
            </w:r>
          </w:p>
        </w:tc>
        <w:tc>
          <w:tcPr>
            <w:tcW w:w="716" w:type="pct"/>
            <w:tcBorders>
              <w:tl2br w:val="nil"/>
              <w:tr2bl w:val="nil"/>
            </w:tcBorders>
            <w:noWrap w:val="0"/>
            <w:vAlign w:val="center"/>
          </w:tcPr>
          <w:p w14:paraId="5B40F6CC">
            <w:pPr>
              <w:keepNext w:val="0"/>
              <w:keepLines w:val="0"/>
              <w:widowControl/>
              <w:jc w:val="center"/>
              <w:textAlignment w:val="center"/>
              <w:rPr>
                <w:rFonts w:hint="default" w:ascii="Times New Roman" w:hAnsi="Times New Roman" w:eastAsia="仿宋_GB2312" w:cs="Times New Roman"/>
                <w:b w:val="0"/>
                <w:bCs w:val="0"/>
                <w:i w:val="0"/>
                <w:iCs w:val="0"/>
                <w:caps w:val="0"/>
                <w:color w:val="auto"/>
                <w:spacing w:val="0"/>
                <w:kern w:val="0"/>
                <w:sz w:val="24"/>
                <w:szCs w:val="24"/>
                <w:u w:val="none"/>
                <w:shd w:val="clear" w:color="auto" w:fill="auto"/>
                <w:lang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95%</w:t>
            </w:r>
          </w:p>
        </w:tc>
      </w:tr>
      <w:tr w14:paraId="59EA5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9" w:type="pct"/>
            <w:tcBorders>
              <w:tl2br w:val="nil"/>
              <w:tr2bl w:val="nil"/>
            </w:tcBorders>
            <w:noWrap w:val="0"/>
            <w:vAlign w:val="center"/>
          </w:tcPr>
          <w:p w14:paraId="50F1C9D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 w:cs="Times New Roman"/>
                <w:i w:val="0"/>
                <w:iCs w:val="0"/>
                <w:color w:val="auto"/>
                <w:sz w:val="24"/>
                <w:szCs w:val="24"/>
                <w:u w:val="none"/>
                <w:lang w:val="en-US" w:eastAsia="zh-CN"/>
              </w:rPr>
              <w:t>6</w:t>
            </w:r>
          </w:p>
        </w:tc>
        <w:tc>
          <w:tcPr>
            <w:tcW w:w="466" w:type="pct"/>
            <w:vMerge w:val="continue"/>
            <w:tcBorders>
              <w:tl2br w:val="nil"/>
              <w:tr2bl w:val="nil"/>
            </w:tcBorders>
            <w:noWrap w:val="0"/>
            <w:vAlign w:val="center"/>
          </w:tcPr>
          <w:p w14:paraId="024F8E06">
            <w:pPr>
              <w:jc w:val="center"/>
              <w:rPr>
                <w:rFonts w:hint="default" w:ascii="Times New Roman" w:hAnsi="Times New Roman" w:eastAsia="仿宋_GB2312" w:cs="Times New Roman"/>
                <w:i w:val="0"/>
                <w:iCs w:val="0"/>
                <w:color w:val="auto"/>
                <w:sz w:val="24"/>
                <w:szCs w:val="24"/>
                <w:u w:val="none"/>
              </w:rPr>
            </w:pPr>
          </w:p>
        </w:tc>
        <w:tc>
          <w:tcPr>
            <w:tcW w:w="1925" w:type="pct"/>
            <w:gridSpan w:val="2"/>
            <w:tcBorders>
              <w:tl2br w:val="nil"/>
              <w:tr2bl w:val="nil"/>
            </w:tcBorders>
            <w:noWrap/>
            <w:vAlign w:val="center"/>
          </w:tcPr>
          <w:p w14:paraId="7B97AEC7">
            <w:pPr>
              <w:keepNext w:val="0"/>
              <w:keepLines w:val="0"/>
              <w:widowControl/>
              <w:suppressLineNumbers w:val="0"/>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 w:cs="Times New Roman"/>
                <w:i w:val="0"/>
                <w:iCs w:val="0"/>
                <w:color w:val="auto"/>
                <w:kern w:val="0"/>
                <w:sz w:val="24"/>
                <w:szCs w:val="24"/>
                <w:u w:val="none"/>
                <w:lang w:val="en-US" w:eastAsia="zh-CN" w:bidi="ar"/>
              </w:rPr>
              <w:t>余热/余冷/余压综合利用率</w:t>
            </w:r>
          </w:p>
        </w:tc>
        <w:tc>
          <w:tcPr>
            <w:tcW w:w="716" w:type="pct"/>
            <w:tcBorders>
              <w:tl2br w:val="nil"/>
              <w:tr2bl w:val="nil"/>
            </w:tcBorders>
            <w:noWrap w:val="0"/>
            <w:vAlign w:val="center"/>
          </w:tcPr>
          <w:p w14:paraId="2CFFC50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50%</w:t>
            </w:r>
          </w:p>
        </w:tc>
        <w:tc>
          <w:tcPr>
            <w:tcW w:w="716" w:type="pct"/>
            <w:tcBorders>
              <w:tl2br w:val="nil"/>
              <w:tr2bl w:val="nil"/>
            </w:tcBorders>
            <w:noWrap w:val="0"/>
            <w:vAlign w:val="center"/>
          </w:tcPr>
          <w:p w14:paraId="4211C6E9">
            <w:pPr>
              <w:keepNext w:val="0"/>
              <w:keepLines w:val="0"/>
              <w:widowControl/>
              <w:suppressLineNumbers w:val="0"/>
              <w:jc w:val="center"/>
              <w:textAlignment w:val="center"/>
              <w:rPr>
                <w:rFonts w:hint="default" w:ascii="Times New Roman" w:hAnsi="Times New Roman" w:eastAsia="仿宋_GB2312" w:cs="Times New Roman"/>
                <w:b w:val="0"/>
                <w:bCs w:val="0"/>
                <w:i w:val="0"/>
                <w:iCs w:val="0"/>
                <w:caps w:val="0"/>
                <w:color w:val="auto"/>
                <w:spacing w:val="0"/>
                <w:kern w:val="0"/>
                <w:sz w:val="24"/>
                <w:szCs w:val="24"/>
                <w:u w:val="none"/>
                <w:shd w:val="clear" w:color="auto" w:fill="auto"/>
                <w:lang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55%</w:t>
            </w:r>
          </w:p>
        </w:tc>
        <w:tc>
          <w:tcPr>
            <w:tcW w:w="716" w:type="pct"/>
            <w:tcBorders>
              <w:tl2br w:val="nil"/>
              <w:tr2bl w:val="nil"/>
            </w:tcBorders>
            <w:noWrap w:val="0"/>
            <w:vAlign w:val="center"/>
          </w:tcPr>
          <w:p w14:paraId="52F5CD60">
            <w:pPr>
              <w:keepNext w:val="0"/>
              <w:keepLines w:val="0"/>
              <w:widowControl/>
              <w:suppressLineNumbers w:val="0"/>
              <w:jc w:val="center"/>
              <w:textAlignment w:val="center"/>
              <w:rPr>
                <w:rFonts w:hint="default" w:ascii="Times New Roman" w:hAnsi="Times New Roman" w:eastAsia="仿宋_GB2312" w:cs="Times New Roman"/>
                <w:b w:val="0"/>
                <w:bCs w:val="0"/>
                <w:i w:val="0"/>
                <w:iCs w:val="0"/>
                <w:caps w:val="0"/>
                <w:color w:val="auto"/>
                <w:spacing w:val="0"/>
                <w:kern w:val="0"/>
                <w:sz w:val="24"/>
                <w:szCs w:val="24"/>
                <w:u w:val="none"/>
                <w:shd w:val="clear" w:color="auto" w:fill="auto"/>
                <w:lang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60%</w:t>
            </w:r>
          </w:p>
        </w:tc>
      </w:tr>
      <w:tr w14:paraId="215B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9" w:type="pct"/>
            <w:tcBorders>
              <w:tl2br w:val="nil"/>
              <w:tr2bl w:val="nil"/>
            </w:tcBorders>
            <w:noWrap w:val="0"/>
            <w:vAlign w:val="center"/>
          </w:tcPr>
          <w:p w14:paraId="635DDC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 w:cs="Times New Roman"/>
                <w:i w:val="0"/>
                <w:iCs w:val="0"/>
                <w:color w:val="auto"/>
                <w:sz w:val="24"/>
                <w:szCs w:val="24"/>
                <w:u w:val="none"/>
                <w:lang w:val="en-US" w:eastAsia="zh-CN"/>
              </w:rPr>
              <w:t>7</w:t>
            </w:r>
          </w:p>
        </w:tc>
        <w:tc>
          <w:tcPr>
            <w:tcW w:w="466" w:type="pct"/>
            <w:vMerge w:val="continue"/>
            <w:tcBorders>
              <w:tl2br w:val="nil"/>
              <w:tr2bl w:val="nil"/>
            </w:tcBorders>
            <w:noWrap w:val="0"/>
            <w:vAlign w:val="center"/>
          </w:tcPr>
          <w:p w14:paraId="5FDF1C1D">
            <w:pPr>
              <w:jc w:val="center"/>
              <w:rPr>
                <w:rFonts w:hint="default" w:ascii="Times New Roman" w:hAnsi="Times New Roman" w:eastAsia="仿宋_GB2312" w:cs="Times New Roman"/>
                <w:i w:val="0"/>
                <w:iCs w:val="0"/>
                <w:color w:val="auto"/>
                <w:sz w:val="24"/>
                <w:szCs w:val="24"/>
                <w:u w:val="none"/>
              </w:rPr>
            </w:pPr>
          </w:p>
        </w:tc>
        <w:tc>
          <w:tcPr>
            <w:tcW w:w="1925" w:type="pct"/>
            <w:gridSpan w:val="2"/>
            <w:tcBorders>
              <w:tl2br w:val="nil"/>
              <w:tr2bl w:val="nil"/>
            </w:tcBorders>
            <w:noWrap/>
            <w:vAlign w:val="center"/>
          </w:tcPr>
          <w:p w14:paraId="2E2E3244">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 w:cs="Times New Roman"/>
                <w:i w:val="0"/>
                <w:iCs w:val="0"/>
                <w:color w:val="auto"/>
                <w:sz w:val="24"/>
                <w:szCs w:val="24"/>
                <w:u w:val="none"/>
                <w:lang w:val="en-US" w:eastAsia="zh-CN"/>
              </w:rPr>
              <w:t>工业用水重复利用率</w:t>
            </w:r>
          </w:p>
        </w:tc>
        <w:tc>
          <w:tcPr>
            <w:tcW w:w="716" w:type="pct"/>
            <w:tcBorders>
              <w:tl2br w:val="nil"/>
              <w:tr2bl w:val="nil"/>
            </w:tcBorders>
            <w:noWrap w:val="0"/>
            <w:vAlign w:val="center"/>
          </w:tcPr>
          <w:p w14:paraId="49948EF9">
            <w:pPr>
              <w:keepNext w:val="0"/>
              <w:keepLines w:val="0"/>
              <w:widowControl/>
              <w:suppressLineNumbers w:val="0"/>
              <w:jc w:val="center"/>
              <w:textAlignment w:val="center"/>
              <w:rPr>
                <w:rFonts w:hint="default" w:ascii="Times New Roman" w:hAnsi="Times New Roman" w:eastAsia="仿宋_GB2312" w:cs="Times New Roman"/>
                <w:i w:val="0"/>
                <w:iCs w:val="0"/>
                <w:caps w:val="0"/>
                <w:color w:val="auto"/>
                <w:spacing w:val="0"/>
                <w:kern w:val="0"/>
                <w:sz w:val="24"/>
                <w:szCs w:val="24"/>
                <w:u w:val="none"/>
                <w:shd w:val="clear" w:color="auto" w:fill="auto"/>
                <w:lang w:val="en-US" w:eastAsia="zh-CN"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80%</w:t>
            </w:r>
          </w:p>
        </w:tc>
        <w:tc>
          <w:tcPr>
            <w:tcW w:w="716" w:type="pct"/>
            <w:tcBorders>
              <w:tl2br w:val="nil"/>
              <w:tr2bl w:val="nil"/>
            </w:tcBorders>
            <w:noWrap w:val="0"/>
            <w:vAlign w:val="center"/>
          </w:tcPr>
          <w:p w14:paraId="63806E99">
            <w:pPr>
              <w:keepNext w:val="0"/>
              <w:keepLines w:val="0"/>
              <w:widowControl/>
              <w:suppressLineNumbers w:val="0"/>
              <w:jc w:val="center"/>
              <w:textAlignment w:val="center"/>
              <w:rPr>
                <w:rFonts w:hint="default" w:ascii="Times New Roman" w:hAnsi="Times New Roman" w:eastAsia="仿宋_GB2312" w:cs="Times New Roman"/>
                <w:b w:val="0"/>
                <w:bCs w:val="0"/>
                <w:i w:val="0"/>
                <w:iCs w:val="0"/>
                <w:caps w:val="0"/>
                <w:color w:val="auto"/>
                <w:spacing w:val="0"/>
                <w:kern w:val="0"/>
                <w:sz w:val="24"/>
                <w:szCs w:val="24"/>
                <w:u w:val="none"/>
                <w:shd w:val="clear" w:color="auto" w:fill="auto"/>
                <w:lang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85%</w:t>
            </w:r>
          </w:p>
        </w:tc>
        <w:tc>
          <w:tcPr>
            <w:tcW w:w="716" w:type="pct"/>
            <w:tcBorders>
              <w:tl2br w:val="nil"/>
              <w:tr2bl w:val="nil"/>
            </w:tcBorders>
            <w:noWrap w:val="0"/>
            <w:vAlign w:val="center"/>
          </w:tcPr>
          <w:p w14:paraId="391B7377">
            <w:pPr>
              <w:keepNext w:val="0"/>
              <w:keepLines w:val="0"/>
              <w:widowControl/>
              <w:suppressLineNumbers w:val="0"/>
              <w:jc w:val="center"/>
              <w:textAlignment w:val="center"/>
              <w:rPr>
                <w:rFonts w:hint="default" w:ascii="Times New Roman" w:hAnsi="Times New Roman" w:eastAsia="仿宋_GB2312" w:cs="Times New Roman"/>
                <w:b w:val="0"/>
                <w:bCs w:val="0"/>
                <w:i w:val="0"/>
                <w:iCs w:val="0"/>
                <w:caps w:val="0"/>
                <w:color w:val="auto"/>
                <w:spacing w:val="0"/>
                <w:kern w:val="0"/>
                <w:sz w:val="24"/>
                <w:szCs w:val="24"/>
                <w:u w:val="none"/>
                <w:shd w:val="clear" w:color="auto" w:fill="auto"/>
                <w:lang w:bidi="ar"/>
              </w:rPr>
            </w:pPr>
            <w:r>
              <w:rPr>
                <w:rFonts w:hint="default" w:ascii="Times New Roman" w:hAnsi="Times New Roman" w:eastAsia="仿宋" w:cs="Times New Roman"/>
                <w:b w:val="0"/>
                <w:bCs w:val="0"/>
                <w:i w:val="0"/>
                <w:iCs w:val="0"/>
                <w:caps w:val="0"/>
                <w:color w:val="auto"/>
                <w:spacing w:val="0"/>
                <w:kern w:val="0"/>
                <w:sz w:val="24"/>
                <w:szCs w:val="24"/>
                <w:u w:val="none"/>
                <w:shd w:val="clear" w:color="auto" w:fill="auto"/>
                <w:lang w:bidi="ar"/>
              </w:rPr>
              <w:t>≥</w:t>
            </w:r>
            <w:r>
              <w:rPr>
                <w:rFonts w:hint="default" w:ascii="Times New Roman" w:hAnsi="Times New Roman" w:eastAsia="仿宋" w:cs="Times New Roman"/>
                <w:i w:val="0"/>
                <w:iCs w:val="0"/>
                <w:color w:val="auto"/>
                <w:kern w:val="0"/>
                <w:sz w:val="24"/>
                <w:szCs w:val="24"/>
                <w:u w:val="none"/>
                <w:lang w:val="en-US" w:eastAsia="zh-CN" w:bidi="ar"/>
              </w:rPr>
              <w:t>90%</w:t>
            </w:r>
          </w:p>
        </w:tc>
      </w:tr>
    </w:tbl>
    <w:p w14:paraId="4C1500B8">
      <w:pPr>
        <w:numPr>
          <w:ilvl w:val="0"/>
          <w:numId w:val="0"/>
        </w:numPr>
        <w:spacing w:beforeLines="0" w:afterLines="0" w:line="520" w:lineRule="exact"/>
        <w:ind w:firstLine="480" w:firstLineChars="200"/>
        <w:rPr>
          <w:rFonts w:hint="default" w:ascii="Times New Roman" w:hAnsi="Times New Roman" w:eastAsia="黑体" w:cs="Times New Roman"/>
          <w:color w:val="auto"/>
          <w:sz w:val="32"/>
          <w:szCs w:val="32"/>
          <w:lang w:val="en-US" w:eastAsia="zh-CN"/>
        </w:rPr>
      </w:pPr>
      <w:r>
        <w:rPr>
          <w:rFonts w:hint="default" w:ascii="Times New Roman" w:hAnsi="Times New Roman" w:eastAsia="仿宋" w:cs="Times New Roman"/>
          <w:snapToGrid/>
          <w:color w:val="auto"/>
          <w:spacing w:val="0"/>
          <w:kern w:val="21"/>
          <w:sz w:val="24"/>
          <w:szCs w:val="24"/>
          <w:highlight w:val="none"/>
          <w:lang w:val="en-US" w:eastAsia="zh-CN"/>
        </w:rPr>
        <w:t>备注：以上指标</w:t>
      </w:r>
      <w:r>
        <w:rPr>
          <w:rFonts w:hint="default" w:eastAsia="仿宋" w:cs="Times New Roman"/>
          <w:snapToGrid/>
          <w:color w:val="auto"/>
          <w:spacing w:val="0"/>
          <w:kern w:val="21"/>
          <w:sz w:val="24"/>
          <w:szCs w:val="24"/>
          <w:highlight w:val="none"/>
          <w:lang w:val="en-US" w:eastAsia="zh-CN"/>
        </w:rPr>
        <w:t>可</w:t>
      </w:r>
      <w:r>
        <w:rPr>
          <w:rFonts w:hint="default" w:ascii="Times New Roman" w:hAnsi="Times New Roman" w:eastAsia="仿宋" w:cs="Times New Roman"/>
          <w:snapToGrid/>
          <w:color w:val="auto"/>
          <w:spacing w:val="0"/>
          <w:kern w:val="21"/>
          <w:sz w:val="24"/>
          <w:szCs w:val="24"/>
          <w:highlight w:val="none"/>
          <w:lang w:val="en-US" w:eastAsia="zh-CN"/>
        </w:rPr>
        <w:t>根据</w:t>
      </w:r>
      <w:r>
        <w:rPr>
          <w:rFonts w:hint="default" w:eastAsia="仿宋" w:cs="Times New Roman"/>
          <w:snapToGrid/>
          <w:color w:val="auto"/>
          <w:spacing w:val="0"/>
          <w:kern w:val="21"/>
          <w:sz w:val="24"/>
          <w:szCs w:val="24"/>
          <w:highlight w:val="none"/>
          <w:lang w:val="en-US" w:eastAsia="zh-CN"/>
        </w:rPr>
        <w:t>实际建设情况在验收时进行</w:t>
      </w:r>
      <w:r>
        <w:rPr>
          <w:rFonts w:hint="default" w:ascii="Times New Roman" w:hAnsi="Times New Roman" w:eastAsia="仿宋" w:cs="Times New Roman"/>
          <w:snapToGrid/>
          <w:color w:val="auto"/>
          <w:spacing w:val="0"/>
          <w:kern w:val="21"/>
          <w:sz w:val="24"/>
          <w:szCs w:val="24"/>
          <w:highlight w:val="none"/>
          <w:lang w:val="en-US" w:eastAsia="zh-CN"/>
        </w:rPr>
        <w:t>适当微调。</w:t>
      </w:r>
    </w:p>
    <w:p w14:paraId="39A90240">
      <w:pPr>
        <w:ind w:firstLine="640" w:firstLineChars="20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一、指标类型说明</w:t>
      </w:r>
    </w:p>
    <w:p w14:paraId="001ED943">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核心</w:t>
      </w:r>
      <w:r>
        <w:rPr>
          <w:rFonts w:hint="default" w:ascii="Times New Roman" w:hAnsi="Times New Roman" w:eastAsia="仿宋" w:cs="Times New Roman"/>
          <w:color w:val="auto"/>
          <w:sz w:val="32"/>
          <w:szCs w:val="32"/>
        </w:rPr>
        <w:t>指标：零碳园区建设必须达到的目标，是</w:t>
      </w:r>
      <w:r>
        <w:rPr>
          <w:rFonts w:hint="default" w:ascii="Times New Roman" w:hAnsi="Times New Roman" w:eastAsia="仿宋" w:cs="Times New Roman"/>
          <w:color w:val="auto"/>
          <w:sz w:val="32"/>
          <w:szCs w:val="32"/>
          <w:lang w:val="en-US" w:eastAsia="zh-CN"/>
        </w:rPr>
        <w:t>园区</w:t>
      </w:r>
      <w:r>
        <w:rPr>
          <w:rFonts w:hint="default" w:ascii="Times New Roman" w:hAnsi="Times New Roman" w:eastAsia="仿宋" w:cs="Times New Roman"/>
          <w:color w:val="auto"/>
          <w:sz w:val="32"/>
          <w:szCs w:val="32"/>
        </w:rPr>
        <w:t>验收评估的首要条件。达不到</w:t>
      </w:r>
      <w:r>
        <w:rPr>
          <w:rFonts w:hint="default" w:ascii="Times New Roman" w:hAnsi="Times New Roman" w:eastAsia="仿宋" w:cs="Times New Roman"/>
          <w:color w:val="auto"/>
          <w:sz w:val="32"/>
          <w:szCs w:val="32"/>
          <w:lang w:val="en-US" w:eastAsia="zh-CN"/>
        </w:rPr>
        <w:t>核心指标</w:t>
      </w:r>
      <w:r>
        <w:rPr>
          <w:rFonts w:hint="default" w:ascii="Times New Roman" w:hAnsi="Times New Roman" w:eastAsia="仿宋" w:cs="Times New Roman"/>
          <w:color w:val="auto"/>
          <w:sz w:val="32"/>
          <w:szCs w:val="32"/>
        </w:rPr>
        <w:t>要求的园区，原则上不得申请验收评估。</w:t>
      </w:r>
    </w:p>
    <w:p w14:paraId="5471893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sectPr>
          <w:footerReference r:id="rId3" w:type="default"/>
          <w:pgSz w:w="11906" w:h="16838"/>
          <w:pgMar w:top="2098" w:right="1247" w:bottom="1417"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 w:cs="Times New Roman"/>
          <w:color w:val="auto"/>
          <w:sz w:val="32"/>
          <w:szCs w:val="32"/>
          <w:lang w:val="en-US" w:eastAsia="zh-CN"/>
        </w:rPr>
        <w:t>引导</w:t>
      </w:r>
      <w:r>
        <w:rPr>
          <w:rFonts w:hint="default" w:ascii="Times New Roman" w:hAnsi="Times New Roman" w:eastAsia="仿宋" w:cs="Times New Roman"/>
          <w:color w:val="auto"/>
          <w:sz w:val="32"/>
          <w:szCs w:val="32"/>
        </w:rPr>
        <w:t>指标：</w:t>
      </w:r>
      <w:r>
        <w:rPr>
          <w:rFonts w:hint="default" w:ascii="Times New Roman" w:hAnsi="Times New Roman" w:eastAsia="仿宋" w:cs="Times New Roman"/>
          <w:color w:val="auto"/>
          <w:sz w:val="32"/>
          <w:szCs w:val="32"/>
          <w:lang w:val="en-US" w:eastAsia="zh-CN"/>
        </w:rPr>
        <w:t>在</w:t>
      </w:r>
      <w:r>
        <w:rPr>
          <w:rFonts w:hint="default" w:ascii="Times New Roman" w:hAnsi="Times New Roman" w:eastAsia="仿宋" w:cs="Times New Roman"/>
          <w:color w:val="auto"/>
          <w:sz w:val="32"/>
          <w:szCs w:val="32"/>
        </w:rPr>
        <w:t>零碳园区建设过程中发挥路径引导作用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作为园区验收</w:t>
      </w:r>
      <w:r>
        <w:rPr>
          <w:rFonts w:hint="default" w:ascii="Times New Roman" w:hAnsi="Times New Roman" w:eastAsia="仿宋" w:cs="Times New Roman"/>
          <w:color w:val="auto"/>
          <w:sz w:val="32"/>
          <w:szCs w:val="32"/>
        </w:rPr>
        <w:t>的参考目标。由于客观条件不具备开展相关工作的园区，可在申报材料中</w:t>
      </w:r>
      <w:r>
        <w:rPr>
          <w:rFonts w:hint="default" w:ascii="Times New Roman" w:hAnsi="Times New Roman" w:eastAsia="仿宋" w:cs="Times New Roman"/>
          <w:color w:val="auto"/>
          <w:sz w:val="32"/>
          <w:szCs w:val="32"/>
          <w:lang w:val="en-US" w:eastAsia="zh-CN"/>
        </w:rPr>
        <w:t>说明原因，</w:t>
      </w:r>
      <w:r>
        <w:rPr>
          <w:rFonts w:hint="default" w:ascii="Times New Roman" w:hAnsi="Times New Roman" w:eastAsia="仿宋" w:cs="Times New Roman"/>
          <w:color w:val="auto"/>
          <w:sz w:val="32"/>
          <w:szCs w:val="32"/>
        </w:rPr>
        <w:t>相关指标</w:t>
      </w:r>
      <w:r>
        <w:rPr>
          <w:rFonts w:hint="default" w:ascii="Times New Roman" w:hAnsi="Times New Roman" w:eastAsia="仿宋" w:cs="Times New Roman"/>
          <w:color w:val="auto"/>
          <w:sz w:val="32"/>
          <w:szCs w:val="32"/>
          <w:lang w:val="en-US" w:eastAsia="zh-CN"/>
        </w:rPr>
        <w:t>将不纳入验收</w:t>
      </w:r>
      <w:r>
        <w:rPr>
          <w:rFonts w:hint="default" w:ascii="Times New Roman" w:hAnsi="Times New Roman" w:eastAsia="仿宋" w:cs="Times New Roman"/>
          <w:color w:val="auto"/>
          <w:sz w:val="32"/>
          <w:szCs w:val="32"/>
        </w:rPr>
        <w:t>要求。</w:t>
      </w:r>
    </w:p>
    <w:p w14:paraId="186095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二、指标计算说明</w:t>
      </w:r>
    </w:p>
    <w:p w14:paraId="7B177FF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ascii="Times New Roman" w:hAnsi="Times New Roman" w:eastAsia="仿宋" w:cs="Times New Roman"/>
          <w:color w:val="auto"/>
          <w:sz w:val="32"/>
          <w:szCs w:val="32"/>
        </w:rPr>
        <w:t>.单位能耗碳排放：指园区</w:t>
      </w:r>
      <w:r>
        <w:rPr>
          <w:rFonts w:hint="default" w:eastAsia="仿宋" w:cs="Times New Roman"/>
          <w:color w:val="auto"/>
          <w:sz w:val="32"/>
          <w:szCs w:val="32"/>
          <w:lang w:eastAsia="zh-CN"/>
        </w:rPr>
        <w:t>范围</w:t>
      </w:r>
      <w:r>
        <w:rPr>
          <w:rFonts w:ascii="Times New Roman" w:hAnsi="Times New Roman" w:eastAsia="仿宋" w:cs="Times New Roman"/>
          <w:color w:val="auto"/>
          <w:sz w:val="32"/>
          <w:szCs w:val="32"/>
        </w:rPr>
        <w:t>内每消费一吨标准煤产生的</w:t>
      </w:r>
      <w:r>
        <w:rPr>
          <w:rFonts w:hint="default" w:ascii="Times New Roman" w:hAnsi="Times New Roman" w:eastAsia="仿宋" w:cs="Times New Roman"/>
          <w:color w:val="auto"/>
          <w:sz w:val="32"/>
          <w:szCs w:val="32"/>
        </w:rPr>
        <w:t>二氧化</w:t>
      </w:r>
      <w:r>
        <w:rPr>
          <w:rFonts w:ascii="Times New Roman" w:hAnsi="Times New Roman" w:eastAsia="仿宋" w:cs="Times New Roman"/>
          <w:color w:val="auto"/>
          <w:sz w:val="32"/>
          <w:szCs w:val="32"/>
        </w:rPr>
        <w:t>碳排放量</w:t>
      </w:r>
      <w:r>
        <w:rPr>
          <w:rFonts w:hint="default" w:eastAsia="仿宋" w:cs="Times New Roman"/>
          <w:color w:val="auto"/>
          <w:sz w:val="32"/>
          <w:szCs w:val="32"/>
          <w:lang w:eastAsia="zh-CN"/>
        </w:rPr>
        <w:t>，</w:t>
      </w:r>
      <w:r>
        <w:rPr>
          <w:rFonts w:ascii="Times New Roman" w:hAnsi="Times New Roman" w:eastAsia="仿宋" w:cs="Times New Roman"/>
          <w:color w:val="auto"/>
          <w:sz w:val="32"/>
          <w:szCs w:val="32"/>
        </w:rPr>
        <w:t>不含非二氧化碳温室气体。能源消费</w:t>
      </w:r>
      <w:r>
        <w:rPr>
          <w:rFonts w:hint="default" w:eastAsia="仿宋" w:cs="Times New Roman"/>
          <w:color w:val="auto"/>
          <w:sz w:val="32"/>
          <w:szCs w:val="32"/>
          <w:lang w:eastAsia="zh-CN"/>
        </w:rPr>
        <w:t>总</w:t>
      </w:r>
      <w:r>
        <w:rPr>
          <w:rFonts w:ascii="Times New Roman" w:hAnsi="Times New Roman" w:eastAsia="仿宋" w:cs="Times New Roman"/>
          <w:color w:val="auto"/>
          <w:sz w:val="32"/>
          <w:szCs w:val="32"/>
        </w:rPr>
        <w:t>量指</w:t>
      </w:r>
      <w:r>
        <w:rPr>
          <w:rFonts w:hint="default" w:ascii="Times New Roman" w:hAnsi="Times New Roman" w:eastAsia="仿宋" w:cs="Times New Roman"/>
          <w:color w:val="auto"/>
          <w:sz w:val="32"/>
          <w:szCs w:val="32"/>
        </w:rPr>
        <w:t>评价年</w:t>
      </w:r>
      <w:r>
        <w:rPr>
          <w:rFonts w:ascii="Times New Roman" w:hAnsi="Times New Roman" w:eastAsia="仿宋" w:cs="Times New Roman"/>
          <w:color w:val="auto"/>
          <w:sz w:val="32"/>
          <w:szCs w:val="32"/>
        </w:rPr>
        <w:t>园区</w:t>
      </w:r>
      <w:r>
        <w:rPr>
          <w:rFonts w:hint="default" w:eastAsia="仿宋" w:cs="Times New Roman"/>
          <w:color w:val="auto"/>
          <w:sz w:val="32"/>
          <w:szCs w:val="32"/>
          <w:lang w:eastAsia="zh-CN"/>
        </w:rPr>
        <w:t>范围</w:t>
      </w:r>
      <w:r>
        <w:rPr>
          <w:rFonts w:ascii="Times New Roman" w:hAnsi="Times New Roman" w:eastAsia="仿宋" w:cs="Times New Roman"/>
          <w:color w:val="auto"/>
          <w:sz w:val="32"/>
          <w:szCs w:val="32"/>
        </w:rPr>
        <w:t>内实际消费的各类能源的总和，</w:t>
      </w:r>
      <w:r>
        <w:rPr>
          <w:rFonts w:hint="default" w:ascii="Times New Roman" w:hAnsi="Times New Roman" w:eastAsia="仿宋" w:cs="Times New Roman"/>
          <w:color w:val="auto"/>
          <w:sz w:val="32"/>
          <w:szCs w:val="32"/>
        </w:rPr>
        <w:t>其中</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电力消费能耗按照等价</w:t>
      </w:r>
      <w:r>
        <w:rPr>
          <w:rFonts w:ascii="Times New Roman" w:hAnsi="Times New Roman" w:eastAsia="仿宋" w:cs="Times New Roman"/>
          <w:color w:val="auto"/>
          <w:sz w:val="32"/>
          <w:szCs w:val="32"/>
        </w:rPr>
        <w:t>值</w:t>
      </w:r>
      <w:r>
        <w:rPr>
          <w:rFonts w:hint="default" w:ascii="Times New Roman" w:hAnsi="Times New Roman" w:eastAsia="仿宋" w:cs="Times New Roman"/>
          <w:color w:val="auto"/>
          <w:sz w:val="32"/>
          <w:szCs w:val="32"/>
        </w:rPr>
        <w:t>计算</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等价值系数</w:t>
      </w:r>
      <w:r>
        <w:rPr>
          <w:rFonts w:hint="default" w:ascii="Times New Roman" w:hAnsi="Times New Roman" w:eastAsia="仿宋" w:cs="Times New Roman"/>
          <w:b w:val="0"/>
          <w:bCs w:val="0"/>
          <w:snapToGrid/>
          <w:color w:val="auto"/>
          <w:spacing w:val="0"/>
          <w:kern w:val="21"/>
          <w:sz w:val="32"/>
          <w:szCs w:val="32"/>
          <w:highlight w:val="none"/>
          <w:lang w:eastAsia="en-US"/>
        </w:rPr>
        <w:t>采用</w:t>
      </w:r>
      <w:r>
        <w:rPr>
          <w:rFonts w:hint="default" w:ascii="Times New Roman" w:hAnsi="Times New Roman" w:eastAsia="仿宋" w:cs="Times New Roman"/>
          <w:color w:val="auto"/>
          <w:sz w:val="32"/>
          <w:szCs w:val="32"/>
          <w:lang w:val="en-US" w:eastAsia="zh-CN"/>
        </w:rPr>
        <w:t>《湖南省统计年鉴》发布的最新年份火力发电煤耗数据（2023年度为0.305kg</w:t>
      </w:r>
      <w:r>
        <w:rPr>
          <w:rFonts w:hint="default" w:ascii="Times New Roman" w:hAnsi="Times New Roman" w:eastAsia="仿宋" w:cs="Times New Roman"/>
          <w:color w:val="auto"/>
          <w:sz w:val="32"/>
          <w:szCs w:val="32"/>
          <w:highlight w:val="none"/>
          <w:lang w:val="en-US" w:eastAsia="zh-CN"/>
        </w:rPr>
        <w:t>ce/</w:t>
      </w:r>
      <w:r>
        <w:rPr>
          <w:rFonts w:hint="default" w:ascii="Times New Roman" w:hAnsi="Times New Roman" w:eastAsia="仿宋" w:cs="Times New Roman"/>
          <w:color w:val="auto"/>
          <w:sz w:val="32"/>
          <w:szCs w:val="32"/>
          <w:lang w:val="en-US" w:eastAsia="zh-CN"/>
        </w:rPr>
        <w:t>kWh），</w:t>
      </w:r>
      <w:r>
        <w:rPr>
          <w:rFonts w:hint="default" w:eastAsia="仿宋" w:cs="Times New Roman"/>
          <w:color w:val="auto"/>
          <w:sz w:val="32"/>
          <w:szCs w:val="32"/>
          <w:lang w:val="en-US" w:eastAsia="zh-CN"/>
        </w:rPr>
        <w:t>后续</w:t>
      </w:r>
      <w:r>
        <w:rPr>
          <w:rFonts w:hint="default" w:ascii="Times New Roman" w:hAnsi="Times New Roman" w:eastAsia="仿宋" w:cs="Times New Roman"/>
          <w:color w:val="auto"/>
          <w:sz w:val="32"/>
          <w:szCs w:val="32"/>
          <w:lang w:val="en-US" w:eastAsia="zh-CN"/>
        </w:rPr>
        <w:t>如有更新，采用</w:t>
      </w:r>
      <w:r>
        <w:rPr>
          <w:rFonts w:hint="default" w:ascii="Times New Roman" w:hAnsi="Times New Roman" w:eastAsia="仿宋" w:cs="Times New Roman"/>
          <w:b w:val="0"/>
          <w:bCs w:val="0"/>
          <w:snapToGrid/>
          <w:color w:val="auto"/>
          <w:spacing w:val="0"/>
          <w:kern w:val="21"/>
          <w:sz w:val="32"/>
          <w:szCs w:val="32"/>
          <w:highlight w:val="none"/>
          <w:lang w:eastAsia="en-US"/>
        </w:rPr>
        <w:t>其</w:t>
      </w:r>
      <w:r>
        <w:rPr>
          <w:rFonts w:hint="default" w:ascii="Times New Roman" w:hAnsi="Times New Roman" w:eastAsia="仿宋" w:cs="Times New Roman"/>
          <w:color w:val="auto"/>
          <w:sz w:val="32"/>
          <w:szCs w:val="32"/>
          <w:lang w:val="en-US" w:eastAsia="zh-CN"/>
        </w:rPr>
        <w:t>最新</w:t>
      </w:r>
      <w:r>
        <w:rPr>
          <w:rFonts w:hint="default" w:eastAsia="仿宋" w:cs="Times New Roman"/>
          <w:color w:val="auto"/>
          <w:sz w:val="32"/>
          <w:szCs w:val="32"/>
          <w:lang w:val="en-US" w:eastAsia="zh-CN"/>
        </w:rPr>
        <w:t>发布的</w:t>
      </w:r>
      <w:r>
        <w:rPr>
          <w:rFonts w:hint="default" w:ascii="Times New Roman" w:hAnsi="Times New Roman" w:eastAsia="仿宋" w:cs="Times New Roman"/>
          <w:color w:val="auto"/>
          <w:sz w:val="32"/>
          <w:szCs w:val="32"/>
          <w:lang w:val="en-US" w:eastAsia="zh-CN"/>
        </w:rPr>
        <w:t>数据</w:t>
      </w:r>
      <w:r>
        <w:rPr>
          <w:rFonts w:ascii="Times New Roman" w:hAnsi="Times New Roman" w:eastAsia="仿宋" w:cs="Times New Roman"/>
          <w:color w:val="auto"/>
          <w:sz w:val="32"/>
          <w:szCs w:val="32"/>
        </w:rPr>
        <w:t>。碳排放</w:t>
      </w:r>
      <w:r>
        <w:rPr>
          <w:rFonts w:hint="default" w:ascii="Times New Roman" w:hAnsi="Times New Roman" w:eastAsia="仿宋" w:cs="Times New Roman"/>
          <w:color w:val="auto"/>
          <w:sz w:val="32"/>
          <w:szCs w:val="32"/>
          <w:lang w:val="en-US" w:eastAsia="zh-CN"/>
        </w:rPr>
        <w:t>包括园区</w:t>
      </w:r>
      <w:r>
        <w:rPr>
          <w:rFonts w:ascii="Times New Roman" w:hAnsi="Times New Roman" w:eastAsia="仿宋" w:cs="Times New Roman"/>
          <w:color w:val="auto"/>
          <w:sz w:val="32"/>
          <w:szCs w:val="32"/>
        </w:rPr>
        <w:t>化石</w:t>
      </w:r>
      <w:r>
        <w:rPr>
          <w:rFonts w:hint="default" w:ascii="Times New Roman" w:hAnsi="Times New Roman" w:eastAsia="仿宋" w:cs="Times New Roman"/>
          <w:color w:val="auto"/>
          <w:sz w:val="32"/>
          <w:szCs w:val="32"/>
          <w:lang w:val="en-US" w:eastAsia="zh-CN"/>
        </w:rPr>
        <w:t>能源用作</w:t>
      </w:r>
      <w:r>
        <w:rPr>
          <w:rFonts w:ascii="Times New Roman" w:hAnsi="Times New Roman" w:eastAsia="仿宋" w:cs="Times New Roman"/>
          <w:color w:val="auto"/>
          <w:sz w:val="32"/>
          <w:szCs w:val="32"/>
        </w:rPr>
        <w:t>燃料</w:t>
      </w:r>
      <w:r>
        <w:rPr>
          <w:rFonts w:hint="default" w:ascii="Times New Roman" w:hAnsi="Times New Roman" w:eastAsia="仿宋" w:cs="Times New Roman"/>
          <w:color w:val="auto"/>
          <w:sz w:val="32"/>
          <w:szCs w:val="32"/>
          <w:lang w:val="en-US" w:eastAsia="zh-CN"/>
        </w:rPr>
        <w:t>产生的碳排放</w:t>
      </w:r>
      <w:r>
        <w:rPr>
          <w:rFonts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能源加工转换过程产生的碳排放、</w:t>
      </w:r>
      <w:r>
        <w:rPr>
          <w:rFonts w:ascii="Times New Roman" w:hAnsi="Times New Roman" w:eastAsia="仿宋" w:cs="Times New Roman"/>
          <w:color w:val="auto"/>
          <w:sz w:val="32"/>
          <w:szCs w:val="32"/>
        </w:rPr>
        <w:t>电力</w:t>
      </w:r>
      <w:r>
        <w:rPr>
          <w:rFonts w:hint="default" w:ascii="Times New Roman" w:hAnsi="Times New Roman" w:eastAsia="仿宋" w:cs="Times New Roman"/>
          <w:color w:val="auto"/>
          <w:sz w:val="32"/>
          <w:szCs w:val="32"/>
          <w:lang w:val="en-US" w:eastAsia="zh-CN"/>
        </w:rPr>
        <w:t>与</w:t>
      </w:r>
      <w:r>
        <w:rPr>
          <w:rFonts w:hint="default" w:ascii="Times New Roman" w:hAnsi="Times New Roman" w:eastAsia="仿宋" w:cs="Times New Roman"/>
          <w:color w:val="auto"/>
          <w:sz w:val="32"/>
          <w:szCs w:val="32"/>
        </w:rPr>
        <w:t>热力</w:t>
      </w:r>
      <w:r>
        <w:rPr>
          <w:rFonts w:hint="default" w:ascii="Times New Roman" w:hAnsi="Times New Roman" w:eastAsia="仿宋" w:cs="Times New Roman"/>
          <w:color w:val="auto"/>
          <w:sz w:val="32"/>
          <w:szCs w:val="32"/>
          <w:lang w:val="en-US" w:eastAsia="zh-CN"/>
        </w:rPr>
        <w:t>净受入蕴含</w:t>
      </w:r>
      <w:r>
        <w:rPr>
          <w:rFonts w:ascii="Times New Roman" w:hAnsi="Times New Roman" w:eastAsia="仿宋" w:cs="Times New Roman"/>
          <w:color w:val="auto"/>
          <w:sz w:val="32"/>
          <w:szCs w:val="32"/>
        </w:rPr>
        <w:t>的</w:t>
      </w:r>
      <w:r>
        <w:rPr>
          <w:rFonts w:hint="default" w:ascii="Times New Roman" w:hAnsi="Times New Roman" w:eastAsia="仿宋" w:cs="Times New Roman"/>
          <w:color w:val="auto"/>
          <w:sz w:val="32"/>
          <w:szCs w:val="32"/>
          <w:lang w:val="en-US" w:eastAsia="zh-CN"/>
        </w:rPr>
        <w:t>间接碳</w:t>
      </w:r>
      <w:r>
        <w:rPr>
          <w:rFonts w:ascii="Times New Roman" w:hAnsi="Times New Roman" w:eastAsia="仿宋" w:cs="Times New Roman"/>
          <w:color w:val="auto"/>
          <w:sz w:val="32"/>
          <w:szCs w:val="32"/>
        </w:rPr>
        <w:t>排放</w:t>
      </w:r>
      <w:r>
        <w:rPr>
          <w:rFonts w:hint="default" w:eastAsia="仿宋" w:cs="Times New Roman"/>
          <w:color w:val="auto"/>
          <w:sz w:val="32"/>
          <w:szCs w:val="32"/>
          <w:lang w:val="en-US" w:eastAsia="zh-CN"/>
        </w:rPr>
        <w:t>和</w:t>
      </w:r>
      <w:r>
        <w:rPr>
          <w:rFonts w:hint="default" w:ascii="Times New Roman" w:hAnsi="Times New Roman" w:eastAsia="仿宋" w:cs="Times New Roman"/>
          <w:color w:val="auto"/>
          <w:sz w:val="32"/>
          <w:szCs w:val="32"/>
          <w:lang w:val="en-US" w:eastAsia="zh-CN"/>
        </w:rPr>
        <w:t>工业生产过程碳排放</w:t>
      </w:r>
      <w:r>
        <w:rPr>
          <w:rFonts w:hint="default" w:eastAsia="仿宋" w:cs="Times New Roman"/>
          <w:color w:val="auto"/>
          <w:sz w:val="32"/>
          <w:szCs w:val="32"/>
          <w:lang w:val="en-US" w:eastAsia="zh-CN"/>
        </w:rPr>
        <w:t>，参考附件3计算。</w:t>
      </w:r>
    </w:p>
    <w:p w14:paraId="7C054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计算公式：单位能耗碳排放（</w:t>
      </w:r>
      <w:r>
        <w:rPr>
          <w:rFonts w:hint="default" w:ascii="Times New Roman" w:hAnsi="Times New Roman" w:eastAsia="仿宋" w:cs="Times New Roman"/>
          <w:i w:val="0"/>
          <w:iCs w:val="0"/>
          <w:color w:val="auto"/>
          <w:kern w:val="0"/>
          <w:sz w:val="32"/>
          <w:szCs w:val="32"/>
          <w:u w:val="none"/>
          <w:lang w:val="en-US" w:eastAsia="zh-CN" w:bidi="ar"/>
        </w:rPr>
        <w:t>tCO</w:t>
      </w:r>
      <w:r>
        <w:rPr>
          <w:rFonts w:hint="default" w:ascii="Times New Roman" w:hAnsi="Times New Roman" w:eastAsia="仿宋" w:cs="Times New Roman"/>
          <w:i w:val="0"/>
          <w:iCs w:val="0"/>
          <w:color w:val="auto"/>
          <w:kern w:val="0"/>
          <w:sz w:val="32"/>
          <w:szCs w:val="32"/>
          <w:u w:val="none"/>
          <w:vertAlign w:val="subscript"/>
          <w:lang w:val="en-US" w:eastAsia="zh-CN" w:bidi="ar"/>
        </w:rPr>
        <w:t>2</w:t>
      </w:r>
      <w:r>
        <w:rPr>
          <w:rFonts w:hint="default" w:ascii="Times New Roman" w:hAnsi="Times New Roman" w:eastAsia="仿宋" w:cs="Times New Roman"/>
          <w:i w:val="0"/>
          <w:iCs w:val="0"/>
          <w:color w:val="auto"/>
          <w:kern w:val="0"/>
          <w:sz w:val="32"/>
          <w:szCs w:val="32"/>
          <w:u w:val="none"/>
          <w:lang w:val="en-US" w:eastAsia="zh-CN" w:bidi="ar"/>
        </w:rPr>
        <w:t>/tce</w:t>
      </w:r>
      <w:r>
        <w:rPr>
          <w:rFonts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rPr>
        <w:t>评价年</w:t>
      </w:r>
      <w:r>
        <w:rPr>
          <w:rFonts w:ascii="Times New Roman" w:hAnsi="Times New Roman" w:eastAsia="仿宋" w:cs="Times New Roman"/>
          <w:color w:val="auto"/>
          <w:sz w:val="32"/>
          <w:szCs w:val="32"/>
        </w:rPr>
        <w:t>碳排放总量（</w:t>
      </w:r>
      <w:r>
        <w:rPr>
          <w:rFonts w:hint="default" w:ascii="Times New Roman" w:hAnsi="Times New Roman" w:eastAsia="仿宋" w:cs="Times New Roman"/>
          <w:i w:val="0"/>
          <w:iCs w:val="0"/>
          <w:color w:val="auto"/>
          <w:kern w:val="0"/>
          <w:sz w:val="32"/>
          <w:szCs w:val="32"/>
          <w:u w:val="none"/>
          <w:lang w:val="en-US" w:eastAsia="zh-CN" w:bidi="ar"/>
        </w:rPr>
        <w:t>tCO</w:t>
      </w:r>
      <w:r>
        <w:rPr>
          <w:rFonts w:hint="default" w:ascii="Times New Roman" w:hAnsi="Times New Roman" w:eastAsia="仿宋" w:cs="Times New Roman"/>
          <w:i w:val="0"/>
          <w:iCs w:val="0"/>
          <w:color w:val="auto"/>
          <w:kern w:val="0"/>
          <w:sz w:val="32"/>
          <w:szCs w:val="32"/>
          <w:u w:val="none"/>
          <w:vertAlign w:val="subscript"/>
          <w:lang w:val="en-US" w:eastAsia="zh-CN" w:bidi="ar"/>
        </w:rPr>
        <w:t>2</w:t>
      </w:r>
      <w:r>
        <w:rPr>
          <w:rFonts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rPr>
        <w:t>评价年</w:t>
      </w:r>
      <w:r>
        <w:rPr>
          <w:rFonts w:ascii="Times New Roman" w:hAnsi="Times New Roman" w:eastAsia="仿宋" w:cs="Times New Roman"/>
          <w:color w:val="auto"/>
          <w:sz w:val="32"/>
          <w:szCs w:val="32"/>
        </w:rPr>
        <w:t>能源消费总量（</w:t>
      </w:r>
      <w:r>
        <w:rPr>
          <w:rFonts w:hint="default" w:ascii="Times New Roman" w:hAnsi="Times New Roman" w:eastAsia="仿宋" w:cs="Times New Roman"/>
          <w:i w:val="0"/>
          <w:iCs w:val="0"/>
          <w:color w:val="auto"/>
          <w:kern w:val="0"/>
          <w:sz w:val="32"/>
          <w:szCs w:val="32"/>
          <w:u w:val="none"/>
          <w:lang w:val="en-US" w:eastAsia="zh-CN" w:bidi="ar"/>
        </w:rPr>
        <w:t>tce</w:t>
      </w:r>
      <w:r>
        <w:rPr>
          <w:rFonts w:ascii="Times New Roman" w:hAnsi="Times New Roman" w:eastAsia="仿宋" w:cs="Times New Roman"/>
          <w:color w:val="auto"/>
          <w:sz w:val="32"/>
          <w:szCs w:val="32"/>
        </w:rPr>
        <w:t>）</w:t>
      </w:r>
    </w:p>
    <w:p w14:paraId="5FC51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w:t>
      </w:r>
      <w:r>
        <w:rPr>
          <w:rFonts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val="en-US" w:eastAsia="zh-CN"/>
        </w:rPr>
        <w:t>清洁</w:t>
      </w:r>
      <w:r>
        <w:rPr>
          <w:rFonts w:ascii="Times New Roman" w:hAnsi="Times New Roman" w:eastAsia="仿宋" w:cs="Times New Roman"/>
          <w:color w:val="auto"/>
          <w:sz w:val="32"/>
          <w:szCs w:val="32"/>
        </w:rPr>
        <w:t>能源</w:t>
      </w:r>
      <w:r>
        <w:rPr>
          <w:rFonts w:hint="default" w:ascii="Times New Roman" w:hAnsi="Times New Roman" w:eastAsia="仿宋" w:cs="Times New Roman"/>
          <w:color w:val="auto"/>
          <w:sz w:val="32"/>
          <w:szCs w:val="32"/>
          <w:lang w:val="en-US" w:eastAsia="zh-CN"/>
        </w:rPr>
        <w:t>消费</w:t>
      </w:r>
      <w:r>
        <w:rPr>
          <w:rFonts w:ascii="Times New Roman" w:hAnsi="Times New Roman" w:eastAsia="仿宋" w:cs="Times New Roman"/>
          <w:color w:val="auto"/>
          <w:sz w:val="32"/>
          <w:szCs w:val="32"/>
        </w:rPr>
        <w:t>占比：指</w:t>
      </w:r>
      <w:r>
        <w:rPr>
          <w:rFonts w:hint="default" w:ascii="Times New Roman" w:hAnsi="Times New Roman" w:eastAsia="仿宋" w:cs="Times New Roman"/>
          <w:color w:val="auto"/>
          <w:sz w:val="32"/>
          <w:szCs w:val="32"/>
          <w:lang w:val="en-US" w:eastAsia="zh-CN"/>
        </w:rPr>
        <w:t>清洁</w:t>
      </w:r>
      <w:r>
        <w:rPr>
          <w:rFonts w:ascii="Times New Roman" w:hAnsi="Times New Roman" w:eastAsia="仿宋" w:cs="Times New Roman"/>
          <w:color w:val="auto"/>
          <w:sz w:val="32"/>
          <w:szCs w:val="32"/>
        </w:rPr>
        <w:t>能源消费</w:t>
      </w:r>
      <w:r>
        <w:rPr>
          <w:rFonts w:hint="default" w:ascii="Times New Roman" w:hAnsi="Times New Roman" w:eastAsia="仿宋" w:cs="Times New Roman"/>
          <w:color w:val="auto"/>
          <w:sz w:val="32"/>
          <w:szCs w:val="32"/>
          <w:lang w:val="en-US" w:eastAsia="zh-CN"/>
        </w:rPr>
        <w:t>量</w:t>
      </w:r>
      <w:r>
        <w:rPr>
          <w:rFonts w:ascii="Times New Roman" w:hAnsi="Times New Roman" w:eastAsia="仿宋" w:cs="Times New Roman"/>
          <w:color w:val="auto"/>
          <w:sz w:val="32"/>
          <w:szCs w:val="32"/>
        </w:rPr>
        <w:t>占</w:t>
      </w:r>
      <w:r>
        <w:rPr>
          <w:rFonts w:hint="default" w:ascii="Times New Roman" w:hAnsi="Times New Roman" w:eastAsia="仿宋" w:cs="Times New Roman"/>
          <w:color w:val="auto"/>
          <w:sz w:val="32"/>
          <w:szCs w:val="32"/>
          <w:lang w:val="en-US" w:eastAsia="zh-CN"/>
        </w:rPr>
        <w:t>园区</w:t>
      </w:r>
      <w:r>
        <w:rPr>
          <w:rFonts w:ascii="Times New Roman" w:hAnsi="Times New Roman" w:eastAsia="仿宋" w:cs="Times New Roman"/>
          <w:color w:val="auto"/>
          <w:sz w:val="32"/>
          <w:szCs w:val="32"/>
        </w:rPr>
        <w:t>能源消费总量的比重。</w:t>
      </w:r>
      <w:r>
        <w:rPr>
          <w:rFonts w:hint="default" w:ascii="Times New Roman" w:hAnsi="Times New Roman" w:eastAsia="仿宋" w:cs="Times New Roman"/>
          <w:color w:val="auto"/>
          <w:sz w:val="32"/>
          <w:szCs w:val="32"/>
          <w:lang w:val="en-US" w:eastAsia="zh-CN"/>
        </w:rPr>
        <w:t>清洁能源包括天然气、液化石油气等清洁燃气和电</w:t>
      </w:r>
      <w:r>
        <w:rPr>
          <w:rFonts w:hint="default" w:eastAsia="仿宋" w:cs="Times New Roman"/>
          <w:color w:val="auto"/>
          <w:sz w:val="32"/>
          <w:szCs w:val="32"/>
          <w:lang w:val="en-US" w:eastAsia="zh-CN"/>
        </w:rPr>
        <w:t>力（</w:t>
      </w:r>
      <w:r>
        <w:rPr>
          <w:rFonts w:hint="default" w:ascii="Times New Roman" w:hAnsi="Times New Roman" w:eastAsia="仿宋" w:cs="Times New Roman"/>
          <w:color w:val="auto"/>
          <w:sz w:val="32"/>
          <w:szCs w:val="32"/>
          <w:lang w:val="en-US" w:eastAsia="zh-CN"/>
        </w:rPr>
        <w:t>包括自发自用清洁能源电力和电网购入清洁能源电力</w:t>
      </w:r>
      <w:r>
        <w:rPr>
          <w:rFonts w:hint="default"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等。电网购入清洁能源电力</w:t>
      </w:r>
      <w:r>
        <w:rPr>
          <w:rFonts w:hint="default" w:eastAsia="仿宋" w:cs="Times New Roman"/>
          <w:color w:val="auto"/>
          <w:sz w:val="32"/>
          <w:szCs w:val="32"/>
          <w:lang w:val="en-US" w:eastAsia="zh-CN"/>
        </w:rPr>
        <w:t>比例采用</w:t>
      </w:r>
      <w:r>
        <w:rPr>
          <w:rFonts w:hint="default" w:ascii="Times New Roman" w:hAnsi="Times New Roman" w:eastAsia="仿宋" w:cs="Times New Roman"/>
          <w:color w:val="auto"/>
          <w:sz w:val="32"/>
          <w:szCs w:val="32"/>
          <w:lang w:val="en-US" w:eastAsia="zh-CN"/>
        </w:rPr>
        <w:t>国家发布的《全国</w:t>
      </w:r>
      <w:r>
        <w:rPr>
          <w:rFonts w:hint="default" w:ascii="Times New Roman" w:hAnsi="Times New Roman" w:eastAsia="仿宋" w:cs="Times New Roman"/>
          <w:color w:val="auto"/>
          <w:sz w:val="32"/>
          <w:szCs w:val="32"/>
        </w:rPr>
        <w:t>可再生能源电力</w:t>
      </w:r>
      <w:r>
        <w:rPr>
          <w:rFonts w:hint="default" w:ascii="Times New Roman" w:hAnsi="Times New Roman" w:eastAsia="仿宋" w:cs="Times New Roman"/>
          <w:color w:val="auto"/>
          <w:sz w:val="32"/>
          <w:szCs w:val="32"/>
          <w:lang w:val="en-US" w:eastAsia="zh-CN"/>
        </w:rPr>
        <w:t>发展监测评价报告》中的湖南省</w:t>
      </w:r>
      <w:r>
        <w:rPr>
          <w:rFonts w:hint="default" w:ascii="Times New Roman" w:hAnsi="Times New Roman" w:eastAsia="仿宋" w:cs="Times New Roman"/>
          <w:i w:val="0"/>
          <w:iCs w:val="0"/>
          <w:caps w:val="0"/>
          <w:color w:val="auto"/>
          <w:spacing w:val="0"/>
          <w:sz w:val="32"/>
          <w:szCs w:val="32"/>
        </w:rPr>
        <w:t>可再生能源电力消纳总量责任权重完成情况</w:t>
      </w:r>
      <w:r>
        <w:rPr>
          <w:rFonts w:hint="default" w:eastAsia="仿宋" w:cs="Times New Roman"/>
          <w:i w:val="0"/>
          <w:iCs w:val="0"/>
          <w:caps w:val="0"/>
          <w:color w:val="auto"/>
          <w:spacing w:val="0"/>
          <w:sz w:val="32"/>
          <w:szCs w:val="32"/>
          <w:lang w:eastAsia="zh-CN"/>
        </w:rPr>
        <w:t>数据</w:t>
      </w:r>
      <w:r>
        <w:rPr>
          <w:rFonts w:hint="default" w:ascii="Times New Roman" w:hAnsi="Times New Roman" w:eastAsia="仿宋" w:cs="Times New Roman"/>
          <w:i w:val="0"/>
          <w:iCs w:val="0"/>
          <w:caps w:val="0"/>
          <w:color w:val="auto"/>
          <w:spacing w:val="0"/>
          <w:sz w:val="32"/>
          <w:szCs w:val="32"/>
          <w:lang w:val="en-US" w:eastAsia="zh-CN"/>
        </w:rPr>
        <w:t>（202</w:t>
      </w:r>
      <w:r>
        <w:rPr>
          <w:rFonts w:hint="default" w:eastAsia="仿宋" w:cs="Times New Roman"/>
          <w:i w:val="0"/>
          <w:iCs w:val="0"/>
          <w:caps w:val="0"/>
          <w:color w:val="auto"/>
          <w:spacing w:val="0"/>
          <w:sz w:val="32"/>
          <w:szCs w:val="32"/>
          <w:lang w:val="en-US" w:eastAsia="zh-CN"/>
        </w:rPr>
        <w:t>4</w:t>
      </w:r>
      <w:r>
        <w:rPr>
          <w:rFonts w:hint="default" w:ascii="Times New Roman" w:hAnsi="Times New Roman" w:eastAsia="仿宋" w:cs="Times New Roman"/>
          <w:i w:val="0"/>
          <w:iCs w:val="0"/>
          <w:caps w:val="0"/>
          <w:color w:val="auto"/>
          <w:spacing w:val="0"/>
          <w:sz w:val="32"/>
          <w:szCs w:val="32"/>
          <w:lang w:val="en-US" w:eastAsia="zh-CN"/>
        </w:rPr>
        <w:t>年度实际完成</w:t>
      </w:r>
      <w:r>
        <w:rPr>
          <w:rFonts w:hint="default" w:eastAsia="仿宋" w:cs="Times New Roman"/>
          <w:i w:val="0"/>
          <w:iCs w:val="0"/>
          <w:caps w:val="0"/>
          <w:color w:val="auto"/>
          <w:spacing w:val="0"/>
          <w:sz w:val="32"/>
          <w:szCs w:val="32"/>
          <w:lang w:val="en-US" w:eastAsia="zh-CN"/>
        </w:rPr>
        <w:t>52.1</w:t>
      </w:r>
      <w:r>
        <w:rPr>
          <w:rFonts w:hint="default" w:ascii="Times New Roman" w:hAnsi="Times New Roman" w:eastAsia="仿宋" w:cs="Times New Roman"/>
          <w:i w:val="0"/>
          <w:iCs w:val="0"/>
          <w:caps w:val="0"/>
          <w:color w:val="auto"/>
          <w:spacing w:val="0"/>
          <w:sz w:val="32"/>
          <w:szCs w:val="32"/>
          <w:lang w:val="en-US" w:eastAsia="zh-CN"/>
        </w:rPr>
        <w:t>%）</w:t>
      </w:r>
      <w:r>
        <w:rPr>
          <w:rFonts w:hint="default" w:eastAsia="仿宋" w:cs="Times New Roman"/>
          <w:i w:val="0"/>
          <w:iCs w:val="0"/>
          <w:caps w:val="0"/>
          <w:color w:val="auto"/>
          <w:spacing w:val="0"/>
          <w:sz w:val="32"/>
          <w:szCs w:val="32"/>
          <w:lang w:val="en-US" w:eastAsia="zh-CN"/>
        </w:rPr>
        <w:t>，后续如有更新，采用其最新发布的数值</w:t>
      </w:r>
      <w:r>
        <w:rPr>
          <w:rFonts w:hint="default" w:ascii="Times New Roman" w:hAnsi="Times New Roman" w:eastAsia="仿宋" w:cs="Times New Roman"/>
          <w:i w:val="0"/>
          <w:iCs w:val="0"/>
          <w:caps w:val="0"/>
          <w:color w:val="auto"/>
          <w:spacing w:val="0"/>
          <w:sz w:val="32"/>
          <w:szCs w:val="32"/>
          <w:lang w:val="en-US" w:eastAsia="zh-CN"/>
        </w:rPr>
        <w:t>。</w:t>
      </w:r>
    </w:p>
    <w:p w14:paraId="37228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计算公式：</w:t>
      </w:r>
      <w:r>
        <w:rPr>
          <w:rFonts w:hint="default" w:ascii="Times New Roman" w:hAnsi="Times New Roman" w:eastAsia="仿宋" w:cs="Times New Roman"/>
          <w:color w:val="auto"/>
          <w:sz w:val="32"/>
          <w:szCs w:val="32"/>
          <w:lang w:val="en-US" w:eastAsia="zh-CN"/>
        </w:rPr>
        <w:t>清洁</w:t>
      </w:r>
      <w:r>
        <w:rPr>
          <w:rFonts w:hint="default" w:ascii="Times New Roman" w:hAnsi="Times New Roman" w:eastAsia="仿宋" w:cs="Times New Roman"/>
          <w:color w:val="auto"/>
          <w:sz w:val="32"/>
          <w:szCs w:val="32"/>
        </w:rPr>
        <w:t>能源</w:t>
      </w:r>
      <w:r>
        <w:rPr>
          <w:rFonts w:hint="default" w:ascii="Times New Roman" w:hAnsi="Times New Roman" w:eastAsia="仿宋" w:cs="Times New Roman"/>
          <w:color w:val="auto"/>
          <w:sz w:val="32"/>
          <w:szCs w:val="32"/>
          <w:lang w:val="en-US" w:eastAsia="zh-CN"/>
        </w:rPr>
        <w:t>消费</w:t>
      </w:r>
      <w:r>
        <w:rPr>
          <w:rFonts w:hint="default" w:ascii="Times New Roman" w:hAnsi="Times New Roman" w:eastAsia="仿宋" w:cs="Times New Roman"/>
          <w:color w:val="auto"/>
          <w:sz w:val="32"/>
          <w:szCs w:val="32"/>
        </w:rPr>
        <w:t>占比（%）</w:t>
      </w:r>
      <w:r>
        <w:rPr>
          <w:rFonts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rPr>
        <w:t>评价年</w:t>
      </w:r>
      <w:r>
        <w:rPr>
          <w:rFonts w:hint="default" w:ascii="Times New Roman" w:hAnsi="Times New Roman" w:eastAsia="仿宋" w:cs="Times New Roman"/>
          <w:color w:val="auto"/>
          <w:sz w:val="32"/>
          <w:szCs w:val="32"/>
          <w:lang w:val="en-US" w:eastAsia="zh-CN"/>
        </w:rPr>
        <w:t>清洁</w:t>
      </w:r>
      <w:r>
        <w:rPr>
          <w:rFonts w:ascii="Times New Roman" w:hAnsi="Times New Roman" w:eastAsia="仿宋" w:cs="Times New Roman"/>
          <w:color w:val="auto"/>
          <w:sz w:val="32"/>
          <w:szCs w:val="32"/>
        </w:rPr>
        <w:t>能源消费量（tce）/</w:t>
      </w:r>
      <w:r>
        <w:rPr>
          <w:rFonts w:hint="default" w:ascii="Times New Roman" w:hAnsi="Times New Roman" w:eastAsia="仿宋" w:cs="Times New Roman"/>
          <w:color w:val="auto"/>
          <w:sz w:val="32"/>
          <w:szCs w:val="32"/>
        </w:rPr>
        <w:t>评价年</w:t>
      </w:r>
      <w:r>
        <w:rPr>
          <w:rFonts w:ascii="Times New Roman" w:hAnsi="Times New Roman" w:eastAsia="仿宋" w:cs="Times New Roman"/>
          <w:color w:val="auto"/>
          <w:sz w:val="32"/>
          <w:szCs w:val="32"/>
        </w:rPr>
        <w:t>能源消费总量（tce）×100%</w:t>
      </w:r>
    </w:p>
    <w:p w14:paraId="3ACA6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3.园区企业产出产品单位能耗：园区内规模以上工业企业生产的主要产品单位能耗达到或优于二级能耗限额标准。参考</w:t>
      </w:r>
      <w:r>
        <w:rPr>
          <w:rFonts w:hint="default" w:eastAsia="仿宋" w:cs="Times New Roman"/>
          <w:color w:val="auto"/>
          <w:sz w:val="32"/>
          <w:szCs w:val="32"/>
          <w:lang w:val="en-US" w:eastAsia="zh-CN"/>
        </w:rPr>
        <w:t>现行有效</w:t>
      </w:r>
      <w:r>
        <w:rPr>
          <w:rFonts w:hint="default" w:ascii="Times New Roman" w:hAnsi="Times New Roman" w:eastAsia="仿宋" w:cs="Times New Roman"/>
          <w:color w:val="auto"/>
          <w:sz w:val="32"/>
          <w:szCs w:val="32"/>
          <w:lang w:val="en-US" w:eastAsia="zh-CN"/>
        </w:rPr>
        <w:t>单位产品能耗限额</w:t>
      </w:r>
      <w:r>
        <w:rPr>
          <w:rFonts w:hint="default" w:eastAsia="仿宋" w:cs="Times New Roman"/>
          <w:color w:val="auto"/>
          <w:sz w:val="32"/>
          <w:szCs w:val="32"/>
          <w:lang w:val="en-US" w:eastAsia="zh-CN"/>
        </w:rPr>
        <w:t>强制性国家</w:t>
      </w:r>
      <w:r>
        <w:rPr>
          <w:rFonts w:hint="default" w:ascii="Times New Roman" w:hAnsi="Times New Roman" w:eastAsia="仿宋" w:cs="Times New Roman"/>
          <w:color w:val="auto"/>
          <w:sz w:val="32"/>
          <w:szCs w:val="32"/>
          <w:lang w:val="en-US" w:eastAsia="zh-CN"/>
        </w:rPr>
        <w:t>标准计算并对标。没有国家标准的，参考团体标准、行业标准和地方标准。</w:t>
      </w:r>
    </w:p>
    <w:p w14:paraId="21772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ascii="Times New Roman" w:hAnsi="Times New Roman" w:eastAsia="仿宋" w:cs="Times New Roman"/>
          <w:color w:val="auto"/>
          <w:sz w:val="32"/>
          <w:szCs w:val="32"/>
        </w:rPr>
        <w:t>.工业固体废弃物综合利用率：园区内工业固体废弃物综合利用量与工业固体废弃物产生量（包括综合利用往年贮存量）的比值。</w:t>
      </w:r>
    </w:p>
    <w:p w14:paraId="400EC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计算公式：工业固体废弃物综合利用率（%）=</w:t>
      </w:r>
      <w:r>
        <w:rPr>
          <w:rFonts w:hint="default" w:ascii="Times New Roman" w:hAnsi="Times New Roman" w:eastAsia="仿宋" w:cs="Times New Roman"/>
          <w:color w:val="auto"/>
          <w:sz w:val="32"/>
          <w:szCs w:val="32"/>
        </w:rPr>
        <w:t>评价年</w:t>
      </w:r>
      <w:r>
        <w:rPr>
          <w:rFonts w:ascii="Times New Roman" w:hAnsi="Times New Roman" w:eastAsia="仿宋" w:cs="Times New Roman"/>
          <w:color w:val="auto"/>
          <w:sz w:val="32"/>
          <w:szCs w:val="32"/>
        </w:rPr>
        <w:t>工业固体废弃物综合利用量（t）/</w:t>
      </w:r>
      <w:r>
        <w:rPr>
          <w:rFonts w:hint="default" w:ascii="Times New Roman" w:hAnsi="Times New Roman" w:eastAsia="仿宋" w:cs="Times New Roman"/>
          <w:color w:val="auto"/>
          <w:sz w:val="32"/>
          <w:szCs w:val="32"/>
        </w:rPr>
        <w:t>[评价年</w:t>
      </w:r>
      <w:r>
        <w:rPr>
          <w:rFonts w:ascii="Times New Roman" w:hAnsi="Times New Roman" w:eastAsia="仿宋" w:cs="Times New Roman"/>
          <w:color w:val="auto"/>
          <w:sz w:val="32"/>
          <w:szCs w:val="32"/>
        </w:rPr>
        <w:t>工业固体废弃物产生量（t）+综合利用往年贮存工业固体废弃物量（t）]×100%</w:t>
      </w:r>
    </w:p>
    <w:p w14:paraId="58F1C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5</w:t>
      </w:r>
      <w:r>
        <w:rPr>
          <w:rFonts w:ascii="Times New Roman" w:hAnsi="Times New Roman" w:eastAsia="仿宋" w:cs="Times New Roman"/>
          <w:color w:val="auto"/>
          <w:sz w:val="32"/>
          <w:szCs w:val="32"/>
        </w:rPr>
        <w:t>.余热/余冷/余压综合利用率：</w:t>
      </w:r>
      <w:r>
        <w:rPr>
          <w:rFonts w:hint="default" w:eastAsia="仿宋" w:cs="Times New Roman"/>
          <w:color w:val="auto"/>
          <w:sz w:val="32"/>
          <w:szCs w:val="32"/>
          <w:lang w:eastAsia="zh-CN"/>
        </w:rPr>
        <w:t>用于衡量生产过程中对热能、冷能和压力能的回收利用程度，</w:t>
      </w:r>
      <w:r>
        <w:rPr>
          <w:rFonts w:hint="default" w:ascii="Times New Roman" w:hAnsi="Times New Roman" w:eastAsia="仿宋" w:cs="Times New Roman"/>
          <w:color w:val="auto"/>
          <w:sz w:val="32"/>
          <w:szCs w:val="32"/>
        </w:rPr>
        <w:t>综合利用率是三类能源综合利用率的加权平均值。</w:t>
      </w:r>
    </w:p>
    <w:p w14:paraId="4D752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vertAlign w:val="baseline"/>
          <w:lang w:val="en-US" w:eastAsia="zh-CN"/>
        </w:rPr>
      </w:pPr>
      <w:r>
        <w:rPr>
          <w:rFonts w:ascii="Times New Roman" w:hAnsi="Times New Roman" w:eastAsia="仿宋" w:cs="Times New Roman"/>
          <w:color w:val="auto"/>
          <w:sz w:val="32"/>
          <w:szCs w:val="32"/>
        </w:rPr>
        <w:t>计算公式：综合利用率（%）=</w:t>
      </w:r>
      <w:r>
        <w:rPr>
          <w:rFonts w:hint="default" w:ascii="Times New Roman" w:hAnsi="Times New Roman" w:eastAsia="仿宋" w:cs="Times New Roman"/>
          <w:color w:val="auto"/>
          <w:sz w:val="32"/>
          <w:szCs w:val="32"/>
          <w:vertAlign w:val="baseline"/>
          <w:lang w:val="en-US" w:eastAsia="zh-CN"/>
        </w:rPr>
        <w:t>∑（</w:t>
      </w:r>
      <w:r>
        <w:rPr>
          <w:rFonts w:hint="default" w:ascii="Times New Roman" w:hAnsi="Times New Roman" w:eastAsia="仿宋" w:cs="Times New Roman"/>
          <w:color w:val="auto"/>
          <w:sz w:val="32"/>
          <w:szCs w:val="32"/>
        </w:rPr>
        <w:t>评价年</w:t>
      </w:r>
      <w:r>
        <w:rPr>
          <w:rFonts w:hint="default" w:ascii="Times New Roman" w:hAnsi="Times New Roman" w:eastAsia="仿宋" w:cs="Times New Roman"/>
          <w:color w:val="auto"/>
          <w:sz w:val="32"/>
          <w:szCs w:val="32"/>
          <w:vertAlign w:val="baseline"/>
          <w:lang w:val="en-US" w:eastAsia="zh-CN"/>
        </w:rPr>
        <w:t>余热产生量（kJ）×</w:t>
      </w:r>
      <w:r>
        <w:rPr>
          <w:rFonts w:hint="default" w:ascii="Times New Roman" w:hAnsi="Times New Roman" w:eastAsia="仿宋" w:cs="Times New Roman"/>
          <w:color w:val="auto"/>
          <w:sz w:val="32"/>
          <w:szCs w:val="32"/>
        </w:rPr>
        <w:t>评价年</w:t>
      </w:r>
      <w:r>
        <w:rPr>
          <w:rFonts w:hint="default" w:ascii="Times New Roman" w:hAnsi="Times New Roman" w:eastAsia="仿宋" w:cs="Times New Roman"/>
          <w:color w:val="auto"/>
          <w:sz w:val="32"/>
          <w:szCs w:val="32"/>
          <w:vertAlign w:val="baseline"/>
          <w:lang w:val="en-US" w:eastAsia="zh-CN"/>
        </w:rPr>
        <w:t>余热综合利用率+</w:t>
      </w:r>
      <w:r>
        <w:rPr>
          <w:rFonts w:hint="default" w:ascii="Times New Roman" w:hAnsi="Times New Roman" w:eastAsia="仿宋" w:cs="Times New Roman"/>
          <w:color w:val="auto"/>
          <w:sz w:val="32"/>
          <w:szCs w:val="32"/>
        </w:rPr>
        <w:t>评价年</w:t>
      </w:r>
      <w:r>
        <w:rPr>
          <w:rFonts w:hint="default" w:ascii="Times New Roman" w:hAnsi="Times New Roman" w:eastAsia="仿宋" w:cs="Times New Roman"/>
          <w:color w:val="auto"/>
          <w:sz w:val="32"/>
          <w:szCs w:val="32"/>
          <w:vertAlign w:val="baseline"/>
          <w:lang w:val="en-US" w:eastAsia="zh-CN"/>
        </w:rPr>
        <w:t>余压产生量（kJ）×</w:t>
      </w:r>
      <w:r>
        <w:rPr>
          <w:rFonts w:hint="default" w:ascii="Times New Roman" w:hAnsi="Times New Roman" w:eastAsia="仿宋" w:cs="Times New Roman"/>
          <w:color w:val="auto"/>
          <w:sz w:val="32"/>
          <w:szCs w:val="32"/>
        </w:rPr>
        <w:t>评价年</w:t>
      </w:r>
      <w:r>
        <w:rPr>
          <w:rFonts w:hint="default" w:ascii="Times New Roman" w:hAnsi="Times New Roman" w:eastAsia="仿宋" w:cs="Times New Roman"/>
          <w:color w:val="auto"/>
          <w:sz w:val="32"/>
          <w:szCs w:val="32"/>
          <w:vertAlign w:val="baseline"/>
          <w:lang w:val="en-US" w:eastAsia="zh-CN"/>
        </w:rPr>
        <w:t>余压综合利用率+</w:t>
      </w:r>
      <w:r>
        <w:rPr>
          <w:rFonts w:hint="default" w:ascii="Times New Roman" w:hAnsi="Times New Roman" w:eastAsia="仿宋" w:cs="Times New Roman"/>
          <w:color w:val="auto"/>
          <w:sz w:val="32"/>
          <w:szCs w:val="32"/>
        </w:rPr>
        <w:t>评价年</w:t>
      </w:r>
      <w:r>
        <w:rPr>
          <w:rFonts w:hint="default" w:ascii="Times New Roman" w:hAnsi="Times New Roman" w:eastAsia="仿宋" w:cs="Times New Roman"/>
          <w:color w:val="auto"/>
          <w:sz w:val="32"/>
          <w:szCs w:val="32"/>
          <w:vertAlign w:val="baseline"/>
          <w:lang w:val="en-US" w:eastAsia="zh-CN"/>
        </w:rPr>
        <w:t>余冷产生量（kJ）×</w:t>
      </w:r>
      <w:r>
        <w:rPr>
          <w:rFonts w:hint="eastAsia" w:eastAsia="仿宋" w:cs="Times New Roman"/>
          <w:color w:val="auto"/>
          <w:sz w:val="32"/>
          <w:szCs w:val="32"/>
          <w:vertAlign w:val="baseline"/>
          <w:lang w:val="en-US" w:eastAsia="zh-CN"/>
        </w:rPr>
        <w:t>评价年</w:t>
      </w:r>
      <w:r>
        <w:rPr>
          <w:rFonts w:hint="default" w:ascii="Times New Roman" w:hAnsi="Times New Roman" w:eastAsia="仿宋" w:cs="Times New Roman"/>
          <w:color w:val="auto"/>
          <w:sz w:val="32"/>
          <w:szCs w:val="32"/>
          <w:vertAlign w:val="baseline"/>
          <w:lang w:val="en-US" w:eastAsia="zh-CN"/>
        </w:rPr>
        <w:t>余冷综合利用率）</w:t>
      </w:r>
      <w:r>
        <w:rPr>
          <w:rFonts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vertAlign w:val="baseline"/>
          <w:lang w:val="en-US" w:eastAsia="zh-CN"/>
        </w:rPr>
        <w:t>∑（</w:t>
      </w:r>
      <w:r>
        <w:rPr>
          <w:rFonts w:hint="default" w:ascii="Times New Roman" w:hAnsi="Times New Roman" w:eastAsia="仿宋" w:cs="Times New Roman"/>
          <w:color w:val="auto"/>
          <w:sz w:val="32"/>
          <w:szCs w:val="32"/>
        </w:rPr>
        <w:t>评价年</w:t>
      </w:r>
      <w:r>
        <w:rPr>
          <w:rFonts w:hint="default" w:ascii="Times New Roman" w:hAnsi="Times New Roman" w:eastAsia="仿宋" w:cs="Times New Roman"/>
          <w:color w:val="auto"/>
          <w:sz w:val="32"/>
          <w:szCs w:val="32"/>
          <w:vertAlign w:val="baseline"/>
          <w:lang w:val="en-US" w:eastAsia="zh-CN"/>
        </w:rPr>
        <w:t>余热产生量（kJ）+</w:t>
      </w:r>
      <w:r>
        <w:rPr>
          <w:rFonts w:hint="default" w:ascii="Times New Roman" w:hAnsi="Times New Roman" w:eastAsia="仿宋" w:cs="Times New Roman"/>
          <w:color w:val="auto"/>
          <w:sz w:val="32"/>
          <w:szCs w:val="32"/>
        </w:rPr>
        <w:t>评价年</w:t>
      </w:r>
      <w:r>
        <w:rPr>
          <w:rFonts w:hint="default" w:ascii="Times New Roman" w:hAnsi="Times New Roman" w:eastAsia="仿宋" w:cs="Times New Roman"/>
          <w:color w:val="auto"/>
          <w:sz w:val="32"/>
          <w:szCs w:val="32"/>
          <w:vertAlign w:val="baseline"/>
          <w:lang w:val="en-US" w:eastAsia="zh-CN"/>
        </w:rPr>
        <w:t>余压产生量（kJ）+</w:t>
      </w:r>
      <w:r>
        <w:rPr>
          <w:rFonts w:hint="default" w:ascii="Times New Roman" w:hAnsi="Times New Roman" w:eastAsia="仿宋" w:cs="Times New Roman"/>
          <w:color w:val="auto"/>
          <w:sz w:val="32"/>
          <w:szCs w:val="32"/>
        </w:rPr>
        <w:t>评价年</w:t>
      </w:r>
      <w:r>
        <w:rPr>
          <w:rFonts w:hint="default" w:ascii="Times New Roman" w:hAnsi="Times New Roman" w:eastAsia="仿宋" w:cs="Times New Roman"/>
          <w:color w:val="auto"/>
          <w:sz w:val="32"/>
          <w:szCs w:val="32"/>
          <w:vertAlign w:val="baseline"/>
          <w:lang w:val="en-US" w:eastAsia="zh-CN"/>
        </w:rPr>
        <w:t>余冷产生量（kJ））</w:t>
      </w:r>
    </w:p>
    <w:p w14:paraId="278507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6</w:t>
      </w:r>
      <w:r>
        <w:rPr>
          <w:rFonts w:ascii="Times New Roman" w:hAnsi="Times New Roman" w:eastAsia="仿宋" w:cs="Times New Roman"/>
          <w:color w:val="auto"/>
          <w:sz w:val="32"/>
          <w:szCs w:val="32"/>
        </w:rPr>
        <w:t>.工业用水重复利用率：园区内工业重复用水量与工业用水总量的比值。工业重复用水量指生产用水中重复再利用的水量，包括循环使用、一水多用和串级使用的水量（含经处理后回用量）。工业用水总量指园区内用于生产和生活的水量，等于工业用新鲜水量与工业重复用水量之和。</w:t>
      </w:r>
    </w:p>
    <w:p w14:paraId="40D71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Times New Roman" w:hAnsi="Times New Roman" w:eastAsia="仿宋" w:cs="Times New Roman"/>
          <w:color w:val="auto"/>
          <w:sz w:val="32"/>
          <w:szCs w:val="32"/>
        </w:rPr>
        <w:t>计算公式：工业用水重复利用率（%）=</w:t>
      </w:r>
      <w:r>
        <w:rPr>
          <w:rFonts w:hint="default" w:ascii="Times New Roman" w:hAnsi="Times New Roman" w:eastAsia="仿宋" w:cs="Times New Roman"/>
          <w:color w:val="auto"/>
          <w:sz w:val="32"/>
          <w:szCs w:val="32"/>
        </w:rPr>
        <w:t>评价年</w:t>
      </w:r>
      <w:r>
        <w:rPr>
          <w:rFonts w:ascii="Times New Roman" w:hAnsi="Times New Roman" w:eastAsia="仿宋" w:cs="Times New Roman"/>
          <w:color w:val="auto"/>
          <w:sz w:val="32"/>
          <w:szCs w:val="32"/>
        </w:rPr>
        <w:t>工业重复用水量（m</w:t>
      </w:r>
      <w:r>
        <w:rPr>
          <w:rFonts w:ascii="Times New Roman" w:hAnsi="Times New Roman" w:eastAsia="仿宋" w:cs="Times New Roman"/>
          <w:color w:val="auto"/>
          <w:sz w:val="32"/>
          <w:szCs w:val="32"/>
          <w:vertAlign w:val="superscript"/>
        </w:rPr>
        <w:t>3</w:t>
      </w:r>
      <w:r>
        <w:rPr>
          <w:rFonts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rPr>
        <w:t>评价年</w:t>
      </w:r>
      <w:r>
        <w:rPr>
          <w:rFonts w:ascii="Times New Roman" w:hAnsi="Times New Roman" w:eastAsia="仿宋" w:cs="Times New Roman"/>
          <w:color w:val="auto"/>
          <w:sz w:val="32"/>
          <w:szCs w:val="32"/>
        </w:rPr>
        <w:t>工业用水总量（m</w:t>
      </w:r>
      <w:r>
        <w:rPr>
          <w:rFonts w:ascii="Times New Roman" w:hAnsi="Times New Roman" w:eastAsia="仿宋" w:cs="Times New Roman"/>
          <w:color w:val="auto"/>
          <w:sz w:val="32"/>
          <w:szCs w:val="32"/>
          <w:vertAlign w:val="superscript"/>
        </w:rPr>
        <w:t>3</w:t>
      </w:r>
      <w:r>
        <w:rPr>
          <w:rFonts w:ascii="Times New Roman" w:hAnsi="Times New Roman" w:eastAsia="仿宋" w:cs="Times New Roman"/>
          <w:color w:val="auto"/>
          <w:sz w:val="32"/>
          <w:szCs w:val="32"/>
        </w:rPr>
        <w:t>）×100%</w:t>
      </w:r>
      <w:r>
        <w:rPr>
          <w:rFonts w:hint="eastAsia" w:eastAsia="仿宋" w:cs="Times New Roman"/>
          <w:color w:val="auto"/>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
    <w:altName w:val="仿宋"/>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4F28">
    <w:pPr>
      <w:pStyle w:val="2"/>
      <w:spacing w:line="233" w:lineRule="auto"/>
      <w:rPr>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BD0E07">
                          <w:pPr>
                            <w:pStyle w:val="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00BD0E07">
                    <w:pPr>
                      <w:pStyle w:val="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1C3848E3"/>
    <w:rsid w:val="1C384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sz w:val="2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times"/>
      <w:sz w:val="2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2026-01-19T07:44:00Z</dcterms:created>
  <dc:creator>杨祖德</dc:creator>
  <cp:lastModifiedBy>杨祖德</cp:lastModifiedBy>
  <dcterms:modified xsi:type="dcterms:W3CDTF">2026-01-19T07:45:27Z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5C9E6A835B97464D8671E5992DAA8DF3_11</vt:lpwstr>
  </property>
</Properties>
</file>